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阳江市江城区教育发展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“十四五”规划（征求意见稿）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的起草说明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宋体_GB2312" w:hAnsi="宋体_GB2312" w:eastAsia="宋体_GB2312" w:cs="宋体_GB2312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阳江市江城区教育发展“十四五”规划（征求意见稿）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（以下简称《规划》）的有关情况说明如下：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一、《规划》起草的背景和原因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时期是我国全面建成小康社会、实现第一个百年奋斗目标之后，乘势而上开启全面建设社会主义现代化国家新征程、向第二个百年奋斗目标进军的第一个五年。党的二十大提出加快建设教育强国、科技强国、人才强国，坚持为党育人、为国育才，全面提高人才自主培养质量，着力造就拔尖创新人才。《中国教育现代化2035》《关于进一步减轻义务教育阶段学生作业负担和校外培训负担的意见》，以及广东省、阳江市一系列加快推进教育现代化的政策文件的出台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全面加快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步伐。我区作为“广东省推进教育现代化先进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”，更需要进一步统筹加强教育工作，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制订详细的发展规划并加以实施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，推动教育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根据《阳江市人民政府关于印发&lt;阳江市教育发展“十四五”规划&gt;的通知》（阳府[2023]8号）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和《阳江市江城区人民政府办公室关于印发江城区“十四五”规划编制工作方案的通知》（江府办函(2020)34号）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等有关文件精神，结合江城教育发展面临的新形势、新任务、新要求，特制订本区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教育事业发展第十四个五年规划。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《规划》的主要内容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《规划》分基本概况、发展战略、主要措施、保障机制等四部分。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第一部分“基本概况”对教育“十三五”期间的工作进行了总结，指出了存在的不足</w:t>
      </w:r>
      <w:bookmarkStart w:id="0" w:name="_Toc21913"/>
      <w:bookmarkStart w:id="1" w:name="_Toc8175"/>
      <w:bookmarkStart w:id="2" w:name="_Toc32259"/>
      <w:bookmarkStart w:id="3" w:name="_Toc26299"/>
      <w:bookmarkStart w:id="4" w:name="_Toc24681"/>
      <w:bookmarkStart w:id="5" w:name="_Toc18114"/>
      <w:bookmarkStart w:id="6" w:name="_Toc1029"/>
      <w:bookmarkStart w:id="7" w:name="_Toc27318"/>
      <w:bookmarkStart w:id="8" w:name="_Toc9369"/>
      <w:bookmarkStart w:id="9" w:name="_Toc83372907"/>
      <w:bookmarkStart w:id="10" w:name="_Toc7080"/>
      <w:bookmarkStart w:id="11" w:name="_Toc7105"/>
      <w:bookmarkStart w:id="12" w:name="_Toc24019"/>
      <w:bookmarkStart w:id="13" w:name="_Toc8639"/>
      <w:bookmarkStart w:id="14" w:name="_Toc12192"/>
      <w:bookmarkStart w:id="15" w:name="_Toc13878"/>
      <w:bookmarkStart w:id="16" w:name="_Toc32482"/>
      <w:bookmarkStart w:id="17" w:name="_Toc6342"/>
      <w:bookmarkStart w:id="18" w:name="_Toc1796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（一）教育投入不足，未能完全满足社会发展的需要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（二）学位供给数量不足，供给结构亟需优化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学位建设缺口大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bookmarkStart w:id="19" w:name="_Toc7961"/>
      <w:bookmarkStart w:id="20" w:name="_Toc24295"/>
      <w:bookmarkStart w:id="21" w:name="_Toc12144"/>
      <w:bookmarkStart w:id="22" w:name="_Toc83372908"/>
      <w:bookmarkStart w:id="23" w:name="_Toc1363"/>
      <w:bookmarkStart w:id="24" w:name="_Toc6415"/>
      <w:bookmarkStart w:id="25" w:name="_Toc7180"/>
      <w:bookmarkStart w:id="26" w:name="_Toc498"/>
      <w:bookmarkStart w:id="27" w:name="_Toc1916"/>
      <w:bookmarkStart w:id="28" w:name="_Toc3120"/>
      <w:bookmarkStart w:id="29" w:name="_Toc22898"/>
      <w:bookmarkStart w:id="30" w:name="_Toc19917"/>
      <w:bookmarkStart w:id="31" w:name="_Toc30743"/>
      <w:bookmarkStart w:id="32" w:name="_Toc2609"/>
      <w:bookmarkStart w:id="33" w:name="_Toc3948"/>
      <w:bookmarkStart w:id="34" w:name="_Toc20419"/>
      <w:bookmarkStart w:id="35" w:name="_Toc9614"/>
      <w:bookmarkStart w:id="36" w:name="_Toc10957"/>
      <w:bookmarkStart w:id="37" w:name="_Toc384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（三）教育质量有待提升，教育发展仍不平衡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Start w:id="38" w:name="_Toc2147"/>
      <w:bookmarkStart w:id="39" w:name="_Toc22692"/>
      <w:bookmarkStart w:id="40" w:name="_Toc19592"/>
      <w:bookmarkStart w:id="41" w:name="_Toc4619"/>
      <w:bookmarkStart w:id="42" w:name="_Toc11423"/>
      <w:bookmarkStart w:id="43" w:name="_Toc6409"/>
      <w:bookmarkStart w:id="44" w:name="_Toc14482"/>
      <w:bookmarkStart w:id="45" w:name="_Toc4312"/>
      <w:bookmarkStart w:id="46" w:name="_Toc83372909"/>
      <w:bookmarkStart w:id="47" w:name="_Toc386"/>
      <w:bookmarkStart w:id="48" w:name="_Toc24880"/>
      <w:bookmarkStart w:id="49" w:name="_Toc20401"/>
      <w:bookmarkStart w:id="50" w:name="_Toc17884"/>
      <w:bookmarkStart w:id="51" w:name="_Toc22980"/>
      <w:bookmarkStart w:id="52" w:name="_Toc32582"/>
      <w:bookmarkStart w:id="53" w:name="_Toc11512"/>
      <w:bookmarkStart w:id="54" w:name="_Toc19982"/>
      <w:bookmarkStart w:id="55" w:name="_Toc28781"/>
      <w:bookmarkStart w:id="56" w:name="_Toc2246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（四）教师发展差距悬殊，激励机制有待加强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Start w:id="57" w:name="_Toc11011"/>
      <w:bookmarkStart w:id="58" w:name="_Toc23434"/>
      <w:bookmarkStart w:id="59" w:name="_Toc22437"/>
      <w:bookmarkStart w:id="60" w:name="_Toc5213"/>
      <w:bookmarkStart w:id="61" w:name="_Toc10497"/>
      <w:bookmarkStart w:id="62" w:name="_Toc230"/>
      <w:bookmarkStart w:id="63" w:name="_Toc20618"/>
      <w:bookmarkStart w:id="64" w:name="_Toc18475"/>
      <w:bookmarkStart w:id="65" w:name="_Toc10803"/>
      <w:bookmarkStart w:id="66" w:name="_Toc10010"/>
      <w:bookmarkStart w:id="67" w:name="_Toc83372910"/>
      <w:bookmarkStart w:id="68" w:name="_Toc22893"/>
      <w:bookmarkStart w:id="69" w:name="_Toc14128"/>
      <w:bookmarkStart w:id="70" w:name="_Toc28104"/>
      <w:bookmarkStart w:id="71" w:name="_Toc16297"/>
      <w:bookmarkStart w:id="72" w:name="_Toc10715"/>
      <w:bookmarkStart w:id="73" w:name="_Toc32440"/>
      <w:bookmarkStart w:id="74" w:name="_Toc2931"/>
      <w:bookmarkStart w:id="75" w:name="_Toc16341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（五）教研队伍结构失衡，专业能力有待提升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Start w:id="76" w:name="_Toc2724"/>
      <w:bookmarkStart w:id="77" w:name="_Toc9221"/>
      <w:bookmarkStart w:id="78" w:name="_Toc83372913"/>
      <w:bookmarkStart w:id="79" w:name="_Toc16088"/>
      <w:bookmarkStart w:id="80" w:name="_Toc6859"/>
      <w:bookmarkStart w:id="81" w:name="_Toc5238"/>
      <w:bookmarkStart w:id="82" w:name="_Toc31741"/>
      <w:bookmarkStart w:id="83" w:name="_Toc14009"/>
      <w:bookmarkStart w:id="84" w:name="_Toc12126"/>
      <w:bookmarkStart w:id="85" w:name="_Toc927"/>
      <w:bookmarkStart w:id="86" w:name="_Toc21561"/>
      <w:bookmarkStart w:id="87" w:name="_Toc9152"/>
      <w:bookmarkStart w:id="88" w:name="_Toc22342"/>
      <w:bookmarkStart w:id="89" w:name="_Toc7249"/>
      <w:bookmarkStart w:id="90" w:name="_Toc15174"/>
      <w:bookmarkStart w:id="91" w:name="_Toc19470"/>
      <w:bookmarkStart w:id="92" w:name="_Toc1873"/>
      <w:bookmarkStart w:id="93" w:name="_Toc24377"/>
      <w:bookmarkStart w:id="94" w:name="_Toc21665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（六）教育质量观需更新，评价观有待优化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Start w:id="95" w:name="_Toc6906"/>
      <w:bookmarkStart w:id="96" w:name="_Toc9265"/>
      <w:bookmarkStart w:id="97" w:name="_Toc13975"/>
      <w:bookmarkStart w:id="98" w:name="_Toc10454"/>
      <w:bookmarkStart w:id="99" w:name="_Toc14021"/>
      <w:bookmarkStart w:id="100" w:name="_Toc14719"/>
      <w:bookmarkStart w:id="101" w:name="_Toc22637"/>
      <w:bookmarkStart w:id="102" w:name="_Toc6348"/>
      <w:bookmarkStart w:id="103" w:name="_Toc83372917"/>
      <w:bookmarkStart w:id="104" w:name="_Toc14143"/>
      <w:bookmarkStart w:id="105" w:name="_Toc5453"/>
      <w:bookmarkStart w:id="106" w:name="_Toc27528"/>
      <w:bookmarkStart w:id="107" w:name="_Toc12844"/>
      <w:bookmarkStart w:id="108" w:name="_Toc1308"/>
      <w:bookmarkStart w:id="109" w:name="_Toc16642"/>
      <w:bookmarkStart w:id="110" w:name="_Toc22861"/>
      <w:bookmarkStart w:id="111" w:name="_Toc17891"/>
      <w:bookmarkStart w:id="112" w:name="_Toc4095"/>
      <w:bookmarkStart w:id="113" w:name="_Toc20885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发展战略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2025年，高标准实现省、市关于教育现代化指标体系要求，构建结构更加完善、发展更加均衡、质量更加优质的现代教育体系，显著提升教育公平保障、促进教育发展质量、强化教育贡献程度、完善治理体系，提高教育治理能力，整体提升教育综合实力和整体竞争力。</w:t>
      </w:r>
      <w:bookmarkStart w:id="114" w:name="_Toc23709"/>
      <w:bookmarkStart w:id="115" w:name="_Toc26033"/>
      <w:bookmarkStart w:id="116" w:name="_Toc23056"/>
      <w:bookmarkStart w:id="117" w:name="_Toc10885"/>
      <w:bookmarkStart w:id="118" w:name="_Toc19120"/>
      <w:bookmarkStart w:id="119" w:name="_Toc1147"/>
      <w:bookmarkStart w:id="120" w:name="_Toc7498"/>
      <w:bookmarkStart w:id="121" w:name="_Toc16429"/>
      <w:bookmarkStart w:id="122" w:name="_Toc3792"/>
      <w:bookmarkStart w:id="123" w:name="_Toc11213"/>
      <w:bookmarkStart w:id="124" w:name="_Toc83372922"/>
      <w:bookmarkStart w:id="125" w:name="_Toc26880"/>
      <w:bookmarkStart w:id="126" w:name="_Toc21958"/>
      <w:bookmarkStart w:id="127" w:name="_Toc10397"/>
      <w:bookmarkStart w:id="128" w:name="_Toc77598547"/>
      <w:bookmarkStart w:id="129" w:name="_Toc25931"/>
      <w:bookmarkStart w:id="130" w:name="_Toc12458"/>
      <w:bookmarkStart w:id="131" w:name="_Toc25255"/>
      <w:bookmarkStart w:id="132" w:name="_Toc12499"/>
      <w:bookmarkStart w:id="133" w:name="_Toc29669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34" w:name="_Toc32489"/>
      <w:bookmarkStart w:id="135" w:name="_Toc15263"/>
      <w:bookmarkStart w:id="136" w:name="_Toc23531"/>
      <w:bookmarkStart w:id="137" w:name="_Toc16285"/>
      <w:bookmarkStart w:id="138" w:name="_Toc28022"/>
      <w:bookmarkStart w:id="139" w:name="_Toc21911"/>
      <w:bookmarkStart w:id="140" w:name="_Toc32012"/>
      <w:bookmarkStart w:id="141" w:name="_Toc80"/>
      <w:bookmarkStart w:id="142" w:name="_Toc4336"/>
      <w:bookmarkStart w:id="143" w:name="_Toc8618"/>
      <w:bookmarkStart w:id="144" w:name="_Toc29114"/>
      <w:bookmarkStart w:id="145" w:name="_Toc24627"/>
      <w:bookmarkStart w:id="146" w:name="_Toc3511"/>
      <w:bookmarkStart w:id="147" w:name="_Toc511"/>
      <w:bookmarkStart w:id="148" w:name="_Toc2343"/>
      <w:bookmarkStart w:id="149" w:name="_Toc29937"/>
      <w:bookmarkStart w:id="150" w:name="_Toc5577"/>
      <w:bookmarkStart w:id="151" w:name="_Toc2277"/>
      <w:bookmarkStart w:id="152" w:name="_Toc83372927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第三部分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主要措施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”，包括：</w:t>
      </w:r>
      <w:bookmarkStart w:id="153" w:name="_Toc5039"/>
      <w:bookmarkStart w:id="154" w:name="_Toc83372928"/>
      <w:bookmarkStart w:id="155" w:name="_Toc5223"/>
      <w:bookmarkStart w:id="156" w:name="_Toc16327"/>
      <w:bookmarkStart w:id="157" w:name="_Toc1596"/>
      <w:bookmarkStart w:id="158" w:name="_Toc22846"/>
      <w:bookmarkStart w:id="159" w:name="_Toc24721"/>
      <w:bookmarkStart w:id="160" w:name="_Toc13479"/>
      <w:bookmarkStart w:id="161" w:name="_Toc20900"/>
      <w:bookmarkStart w:id="162" w:name="_Toc4793"/>
      <w:bookmarkStart w:id="163" w:name="_Toc8947"/>
      <w:bookmarkStart w:id="164" w:name="_Toc8660"/>
      <w:bookmarkStart w:id="165" w:name="_Toc24127"/>
      <w:bookmarkStart w:id="166" w:name="_Toc15812"/>
      <w:bookmarkStart w:id="167" w:name="_Toc31238"/>
      <w:bookmarkStart w:id="168" w:name="_Toc951"/>
      <w:bookmarkStart w:id="169" w:name="_Toc18282"/>
      <w:bookmarkStart w:id="170" w:name="_Toc19808"/>
      <w:bookmarkStart w:id="171" w:name="_Toc1292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全面落实立德树人根本任务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Start w:id="172" w:name="_Toc30462"/>
      <w:bookmarkStart w:id="173" w:name="_Toc15483"/>
      <w:bookmarkStart w:id="174" w:name="_Toc5740"/>
      <w:bookmarkStart w:id="175" w:name="_Toc14346"/>
      <w:bookmarkStart w:id="176" w:name="_Toc19641"/>
      <w:bookmarkStart w:id="177" w:name="_Toc3293"/>
      <w:bookmarkStart w:id="178" w:name="_Toc9160"/>
      <w:bookmarkStart w:id="179" w:name="_Toc1160"/>
      <w:bookmarkStart w:id="180" w:name="_Toc26984"/>
      <w:bookmarkStart w:id="181" w:name="_Toc7209"/>
      <w:bookmarkStart w:id="182" w:name="_Toc83372934"/>
      <w:bookmarkStart w:id="183" w:name="_Toc542"/>
      <w:bookmarkStart w:id="184" w:name="_Toc9582"/>
      <w:bookmarkStart w:id="185" w:name="_Toc9828"/>
      <w:bookmarkStart w:id="186" w:name="_Toc16814"/>
      <w:bookmarkStart w:id="187" w:name="_Toc26286"/>
      <w:bookmarkStart w:id="188" w:name="_Toc26034"/>
      <w:bookmarkStart w:id="189" w:name="_Toc17116"/>
      <w:bookmarkStart w:id="190" w:name="_Toc483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全面推动学前教育</w:t>
      </w:r>
      <w:bookmarkEnd w:id="172"/>
      <w:bookmarkEnd w:id="173"/>
      <w:bookmarkEnd w:id="174"/>
      <w:bookmarkEnd w:id="175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普惠发展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巩固提升“5080”攻坚工程成果，争取市的支持加快新建8所公办幼儿园、改扩建4所公办幼儿园，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2020年的基础上新增3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个公办幼儿园学位</w:t>
      </w:r>
      <w:bookmarkStart w:id="191" w:name="_Toc29181"/>
      <w:bookmarkStart w:id="192" w:name="_Toc11135"/>
      <w:bookmarkStart w:id="193" w:name="_Toc4154"/>
      <w:bookmarkStart w:id="194" w:name="_Toc6654"/>
      <w:bookmarkStart w:id="195" w:name="_Toc6845"/>
      <w:bookmarkStart w:id="196" w:name="_Toc83372938"/>
      <w:bookmarkStart w:id="197" w:name="_Toc25393"/>
      <w:bookmarkStart w:id="198" w:name="_Toc13657"/>
      <w:bookmarkStart w:id="199" w:name="_Toc28694"/>
      <w:bookmarkStart w:id="200" w:name="_Toc9108"/>
      <w:bookmarkStart w:id="201" w:name="_Toc12384"/>
      <w:bookmarkStart w:id="202" w:name="_Toc25975"/>
      <w:bookmarkStart w:id="203" w:name="_Toc21218"/>
      <w:bookmarkStart w:id="204" w:name="_Toc20751"/>
      <w:bookmarkStart w:id="205" w:name="_Toc4998"/>
      <w:bookmarkStart w:id="206" w:name="_Toc29879"/>
      <w:bookmarkStart w:id="207" w:name="_Toc31536"/>
      <w:bookmarkStart w:id="208" w:name="_Toc125"/>
      <w:bookmarkStart w:id="209" w:name="_Toc2920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全面推进中小学教育</w:t>
      </w:r>
      <w:bookmarkEnd w:id="191"/>
      <w:bookmarkEnd w:id="192"/>
      <w:bookmarkEnd w:id="193"/>
      <w:bookmarkEnd w:id="19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优质均衡发展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争取市的支持，到2025年新建小学5所、初级中学2所、九年一贯制学校1所，改扩建小学8所、初级中学1所、九年一贯制学校2所，新增小学学位12140个、初中学位5850个，共17990个学位。逐年增加公办学校学位供给，确保满足适龄儿童和少年学位需求。在2025年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分批次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学生人数30人以下、办学质量不高、经严格履行停办程序的教学点进行撤并，进一步优化全区乡村小规模学校布局调整。推进学区化、集团化、联盟化办学，以点带面促进城乡学校、强弱学校、老新学校实现合作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扩大优质学校的品牌效应。</w:t>
      </w:r>
      <w:bookmarkStart w:id="210" w:name="_Toc83372947"/>
      <w:bookmarkStart w:id="211" w:name="_Toc27817"/>
      <w:bookmarkStart w:id="212" w:name="_Toc10796"/>
      <w:bookmarkStart w:id="213" w:name="_Toc7551"/>
      <w:bookmarkStart w:id="214" w:name="_Toc18290"/>
      <w:bookmarkStart w:id="215" w:name="_Toc13013"/>
      <w:bookmarkStart w:id="216" w:name="_Toc560"/>
      <w:bookmarkStart w:id="217" w:name="_Toc12010"/>
      <w:bookmarkStart w:id="218" w:name="_Toc31879"/>
      <w:bookmarkStart w:id="219" w:name="_Toc7607"/>
      <w:bookmarkStart w:id="220" w:name="_Toc21639"/>
      <w:bookmarkStart w:id="221" w:name="_Toc9435"/>
      <w:bookmarkStart w:id="222" w:name="_Toc686"/>
      <w:bookmarkStart w:id="223" w:name="_Toc29844"/>
      <w:bookmarkStart w:id="224" w:name="_Toc16032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全面推进特殊教育公平融合发展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90281996"/>
      <w:bookmarkStart w:id="226" w:name="_Toc3677"/>
      <w:bookmarkStart w:id="227" w:name="_Toc3247"/>
      <w:bookmarkStart w:id="228" w:name="_Toc11734"/>
      <w:bookmarkStart w:id="229" w:name="_Toc86255685"/>
      <w:bookmarkStart w:id="230" w:name="_Toc87212012"/>
      <w:bookmarkStart w:id="231" w:name="_Toc13367"/>
      <w:bookmarkStart w:id="232" w:name="_Toc31142"/>
      <w:bookmarkStart w:id="233" w:name="_Toc23860"/>
      <w:bookmarkStart w:id="234" w:name="_Toc2385"/>
      <w:bookmarkStart w:id="235" w:name="_Toc21366"/>
      <w:bookmarkStart w:id="236" w:name="_Toc1079"/>
      <w:bookmarkStart w:id="237" w:name="_Toc26405"/>
      <w:bookmarkStart w:id="238" w:name="_Toc28402"/>
      <w:bookmarkStart w:id="239" w:name="_Toc29149"/>
      <w:bookmarkStart w:id="240" w:name="_Toc1010"/>
      <w:bookmarkStart w:id="241" w:name="_Toc16436"/>
      <w:bookmarkStart w:id="242" w:name="_Toc22579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。（五）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全面促进普通高中优质发展</w:t>
      </w:r>
      <w:bookmarkEnd w:id="225"/>
      <w:bookmarkEnd w:id="226"/>
      <w:bookmarkEnd w:id="227"/>
      <w:bookmarkEnd w:id="228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茶山中学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进行改扩建，</w:t>
      </w:r>
      <w:bookmarkStart w:id="442" w:name="_GoBack"/>
      <w:bookmarkEnd w:id="44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增办高中部，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更名为“江城第一中学”，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力争在2024年完成学校所有规划建设，满足“高中教学班60个、招生3000人;初中教学班18个、招生900人”的办学需求，逐步把该校办成全市示范性完全中学。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Start w:id="243" w:name="_Toc83372950"/>
      <w:bookmarkStart w:id="244" w:name="_Toc2043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全面加强教师队伍</w:t>
      </w:r>
      <w:bookmarkEnd w:id="243"/>
      <w:bookmarkEnd w:id="24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bookmarkEnd w:id="239"/>
      <w:bookmarkEnd w:id="240"/>
      <w:bookmarkEnd w:id="241"/>
      <w:bookmarkEnd w:id="242"/>
      <w:bookmarkStart w:id="245" w:name="_Toc523"/>
      <w:bookmarkStart w:id="246" w:name="_Toc3084"/>
      <w:bookmarkStart w:id="247" w:name="_Toc25687"/>
      <w:bookmarkStart w:id="248" w:name="_Toc24046"/>
      <w:bookmarkStart w:id="249" w:name="_Toc9839"/>
      <w:bookmarkStart w:id="250" w:name="_Toc9147"/>
      <w:bookmarkStart w:id="251" w:name="_Toc8072"/>
      <w:bookmarkStart w:id="252" w:name="_Toc9971"/>
      <w:bookmarkStart w:id="253" w:name="_Toc32743"/>
      <w:bookmarkStart w:id="254" w:name="_Toc1837"/>
      <w:bookmarkStart w:id="255" w:name="_Toc21347"/>
      <w:bookmarkStart w:id="256" w:name="_Toc17890"/>
      <w:bookmarkStart w:id="257" w:name="_Toc6239"/>
      <w:bookmarkStart w:id="258" w:name="_Toc83372955"/>
      <w:bookmarkStart w:id="259" w:name="_Toc3622"/>
      <w:bookmarkStart w:id="260" w:name="_Toc1585"/>
      <w:bookmarkStart w:id="261" w:name="_Toc15055"/>
      <w:bookmarkStart w:id="262" w:name="_Toc28524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全面提升教育信息化水平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Start w:id="263" w:name="_Toc3559"/>
      <w:bookmarkStart w:id="264" w:name="_Toc23909"/>
      <w:bookmarkStart w:id="265" w:name="_Toc26810"/>
      <w:bookmarkStart w:id="266" w:name="_Toc10530"/>
      <w:bookmarkStart w:id="267" w:name="_Toc20891"/>
      <w:bookmarkStart w:id="268" w:name="_Toc22932"/>
      <w:bookmarkStart w:id="269" w:name="_Toc9141"/>
      <w:bookmarkStart w:id="270" w:name="_Toc14643"/>
      <w:bookmarkStart w:id="271" w:name="_Toc23428"/>
      <w:bookmarkStart w:id="272" w:name="_Toc15052"/>
      <w:bookmarkStart w:id="273" w:name="_Toc31017"/>
      <w:bookmarkStart w:id="274" w:name="_Toc4806"/>
      <w:bookmarkStart w:id="275" w:name="_Toc30883"/>
      <w:bookmarkStart w:id="276" w:name="_Toc794"/>
      <w:bookmarkStart w:id="277" w:name="_Toc30554"/>
      <w:bookmarkStart w:id="278" w:name="_Toc111"/>
      <w:bookmarkStart w:id="279" w:name="_Toc83372959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。（八）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全面深化教育领域综合改革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80" w:name="_Toc29187"/>
      <w:bookmarkStart w:id="281" w:name="_Toc8971"/>
      <w:bookmarkStart w:id="282" w:name="_Toc5889"/>
      <w:bookmarkStart w:id="283" w:name="_Toc26637"/>
      <w:bookmarkStart w:id="284" w:name="_Toc21249"/>
      <w:bookmarkStart w:id="285" w:name="_Toc8425"/>
      <w:bookmarkStart w:id="286" w:name="_Toc10217"/>
      <w:bookmarkStart w:id="287" w:name="_Toc5245"/>
      <w:bookmarkStart w:id="288" w:name="_Toc19595"/>
      <w:bookmarkStart w:id="289" w:name="_Toc17915"/>
      <w:bookmarkStart w:id="290" w:name="_Toc25890"/>
      <w:bookmarkStart w:id="291" w:name="_Toc7205"/>
      <w:bookmarkStart w:id="292" w:name="_Toc22655"/>
      <w:bookmarkStart w:id="293" w:name="_Toc30565"/>
      <w:bookmarkStart w:id="294" w:name="_Toc3605"/>
      <w:bookmarkStart w:id="295" w:name="_Toc13758"/>
      <w:bookmarkStart w:id="296" w:name="_Toc10958"/>
      <w:bookmarkStart w:id="297" w:name="_Toc5738"/>
      <w:bookmarkStart w:id="298" w:name="_Toc1620"/>
      <w:bookmarkStart w:id="299" w:name="_Toc11167"/>
      <w:bookmarkStart w:id="300" w:name="_Toc31057"/>
      <w:bookmarkStart w:id="301" w:name="_Toc19414"/>
      <w:bookmarkStart w:id="302" w:name="_Toc30595"/>
      <w:bookmarkStart w:id="303" w:name="_Toc16847"/>
      <w:bookmarkStart w:id="304" w:name="_Toc25782"/>
      <w:bookmarkStart w:id="305" w:name="_Toc1451"/>
      <w:bookmarkStart w:id="306" w:name="_Toc18087"/>
      <w:bookmarkStart w:id="307" w:name="_Toc19634"/>
      <w:bookmarkStart w:id="308" w:name="_Toc23276"/>
      <w:bookmarkStart w:id="309" w:name="_Toc19751"/>
      <w:bookmarkStart w:id="310" w:name="_Toc1739"/>
      <w:bookmarkStart w:id="311" w:name="_Toc5657"/>
      <w:bookmarkStart w:id="312" w:name="_Toc16925"/>
      <w:bookmarkStart w:id="313" w:name="_Toc17258"/>
      <w:bookmarkStart w:id="314" w:name="_Toc15280"/>
      <w:bookmarkStart w:id="315" w:name="_Toc11140"/>
      <w:bookmarkStart w:id="316" w:name="_Toc29949"/>
      <w:bookmarkStart w:id="317" w:name="_Toc5424"/>
      <w:bookmarkStart w:id="318" w:name="_Toc18118"/>
      <w:bookmarkStart w:id="319" w:name="_Toc5339"/>
      <w:bookmarkStart w:id="320" w:name="_Toc17925"/>
      <w:bookmarkStart w:id="321" w:name="_Toc5252"/>
      <w:bookmarkStart w:id="322" w:name="_Toc25855"/>
      <w:bookmarkStart w:id="323" w:name="_Toc11191"/>
      <w:bookmarkStart w:id="324" w:name="_Toc4408"/>
      <w:bookmarkStart w:id="325" w:name="_Toc10361"/>
      <w:bookmarkStart w:id="326" w:name="_Toc7134"/>
      <w:bookmarkStart w:id="327" w:name="_Toc10984"/>
      <w:bookmarkStart w:id="328" w:name="_Toc833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\l "_Toc18139"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bookmarkStart w:id="329" w:name="_Toc60412625"/>
      <w:bookmarkStart w:id="330" w:name="_Toc8337296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第四部分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保障机制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bookmarkEnd w:id="329"/>
      <w:bookmarkEnd w:id="33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Start w:id="331" w:name="_Toc16508"/>
      <w:bookmarkStart w:id="332" w:name="_Toc11788"/>
      <w:bookmarkStart w:id="333" w:name="_Toc27585"/>
      <w:bookmarkStart w:id="334" w:name="_Toc13452"/>
      <w:bookmarkStart w:id="335" w:name="_Toc23133"/>
      <w:bookmarkStart w:id="336" w:name="_Toc4046"/>
      <w:bookmarkStart w:id="337" w:name="_Toc10859"/>
      <w:bookmarkStart w:id="338" w:name="_Toc23949"/>
      <w:bookmarkStart w:id="339" w:name="_Toc83372965"/>
      <w:bookmarkStart w:id="340" w:name="_Toc4181"/>
      <w:bookmarkStart w:id="341" w:name="_Toc21628"/>
      <w:bookmarkStart w:id="342" w:name="_Toc31522"/>
      <w:bookmarkStart w:id="343" w:name="_Toc18728"/>
      <w:bookmarkStart w:id="344" w:name="_Toc21041"/>
      <w:bookmarkStart w:id="345" w:name="_Toc11069"/>
      <w:bookmarkStart w:id="346" w:name="_Toc6340"/>
      <w:bookmarkStart w:id="347" w:name="_Toc8946"/>
      <w:bookmarkStart w:id="348" w:name="_Toc25791"/>
      <w:bookmarkStart w:id="349" w:name="_Toc334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，包括：（一）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全面加强党对教育的领导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Start w:id="350" w:name="_Toc15"/>
      <w:bookmarkStart w:id="351" w:name="_Toc29034"/>
      <w:bookmarkStart w:id="352" w:name="_Toc8115"/>
      <w:bookmarkStart w:id="353" w:name="_Toc5884"/>
      <w:bookmarkStart w:id="354" w:name="_Toc16183"/>
      <w:bookmarkStart w:id="355" w:name="_Toc9902"/>
      <w:bookmarkStart w:id="356" w:name="_Toc32426"/>
      <w:bookmarkStart w:id="357" w:name="_Toc28951"/>
      <w:bookmarkStart w:id="358" w:name="_Toc13885"/>
      <w:bookmarkStart w:id="359" w:name="_Toc22975"/>
      <w:bookmarkStart w:id="360" w:name="_Toc23964"/>
      <w:bookmarkStart w:id="361" w:name="_Toc14328"/>
      <w:bookmarkStart w:id="362" w:name="_Toc21220"/>
      <w:bookmarkStart w:id="363" w:name="_Toc11715"/>
      <w:bookmarkStart w:id="364" w:name="_Toc23154"/>
      <w:bookmarkStart w:id="365" w:name="_Toc401"/>
      <w:bookmarkStart w:id="366" w:name="_Toc25377"/>
      <w:bookmarkStart w:id="367" w:name="_Toc83372966"/>
      <w:bookmarkStart w:id="368" w:name="_Toc13877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全力落实教育投入优先保障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把教育作为财政支出的重点领域予以优先保障，按照教育法“三个增长，两个比例”要求，落实政府履行公共教育的经费保障责任。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发挥财政投入的政策导向作用，优化各级各类教育的经费投入结构，合理配置教育资源，促进城乡、区域、校际之间协调发展。</w:t>
      </w:r>
      <w:bookmarkStart w:id="369" w:name="_Toc15442"/>
      <w:bookmarkStart w:id="370" w:name="_Toc1870"/>
      <w:bookmarkStart w:id="371" w:name="_Toc16040"/>
      <w:bookmarkStart w:id="372" w:name="_Toc30111"/>
      <w:bookmarkStart w:id="373" w:name="_Toc12647"/>
      <w:bookmarkStart w:id="374" w:name="_Toc4523"/>
      <w:bookmarkStart w:id="375" w:name="_Toc17469"/>
      <w:bookmarkStart w:id="376" w:name="_Toc20076"/>
      <w:bookmarkStart w:id="377" w:name="_Toc27258"/>
      <w:bookmarkStart w:id="378" w:name="_Toc23404"/>
      <w:bookmarkStart w:id="379" w:name="_Toc14871"/>
      <w:bookmarkStart w:id="380" w:name="_Toc8351"/>
      <w:bookmarkStart w:id="381" w:name="_Toc21581"/>
      <w:bookmarkStart w:id="382" w:name="_Toc18471"/>
      <w:bookmarkStart w:id="383" w:name="_Toc15372"/>
      <w:bookmarkStart w:id="384" w:name="_Toc19086"/>
      <w:bookmarkStart w:id="385" w:name="_Toc32662"/>
      <w:bookmarkStart w:id="386" w:name="_Toc891"/>
      <w:bookmarkStart w:id="387" w:name="_Toc83372967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全力强化督导评估机制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Start w:id="388" w:name="_Toc29231"/>
      <w:bookmarkStart w:id="389" w:name="_Toc11654"/>
      <w:bookmarkStart w:id="390" w:name="_Toc17827"/>
      <w:bookmarkStart w:id="391" w:name="_Toc7008"/>
      <w:bookmarkStart w:id="392" w:name="_Toc21307"/>
      <w:bookmarkStart w:id="393" w:name="_Toc24071"/>
      <w:bookmarkStart w:id="394" w:name="_Toc81"/>
      <w:bookmarkStart w:id="395" w:name="_Toc5881"/>
      <w:bookmarkStart w:id="396" w:name="_Toc1215"/>
      <w:bookmarkStart w:id="397" w:name="_Toc16591"/>
      <w:bookmarkStart w:id="398" w:name="_Toc22401"/>
      <w:bookmarkStart w:id="399" w:name="_Toc23410"/>
      <w:bookmarkStart w:id="400" w:name="_Toc27833"/>
      <w:bookmarkStart w:id="401" w:name="_Toc24139"/>
      <w:bookmarkStart w:id="402" w:name="_Toc23703"/>
      <w:bookmarkStart w:id="403" w:name="_Toc10237"/>
      <w:bookmarkStart w:id="404" w:name="_Toc25606"/>
      <w:bookmarkStart w:id="405" w:name="_Toc28236"/>
      <w:bookmarkStart w:id="406" w:name="_Toc14110"/>
      <w:bookmarkStart w:id="407" w:name="_Toc21761"/>
      <w:bookmarkStart w:id="408" w:name="_Toc10533"/>
      <w:bookmarkStart w:id="409" w:name="_Toc11053"/>
      <w:bookmarkStart w:id="410" w:name="_Toc5487"/>
      <w:bookmarkStart w:id="411" w:name="_Toc2778"/>
      <w:bookmarkStart w:id="412" w:name="_Toc28926"/>
      <w:bookmarkStart w:id="413" w:name="_Toc2831"/>
      <w:bookmarkStart w:id="414" w:name="_Toc30148"/>
      <w:bookmarkStart w:id="415" w:name="_Toc27500"/>
      <w:bookmarkStart w:id="416" w:name="_Toc27875"/>
      <w:bookmarkStart w:id="417" w:name="_Toc17550"/>
      <w:bookmarkStart w:id="418" w:name="_Toc13535"/>
      <w:bookmarkStart w:id="419" w:name="_Toc19287"/>
      <w:bookmarkStart w:id="420" w:name="_Toc4514"/>
      <w:bookmarkStart w:id="421" w:name="_Toc17207"/>
      <w:bookmarkStart w:id="422" w:name="_Toc15466"/>
      <w:bookmarkStart w:id="423" w:name="_Toc18079"/>
      <w:bookmarkStart w:id="424" w:name="_Toc13872"/>
      <w:bookmarkStart w:id="425" w:name="_Toc963"/>
      <w:bookmarkStart w:id="426" w:name="_Toc19716"/>
      <w:bookmarkStart w:id="427" w:name="_Toc12955"/>
      <w:bookmarkStart w:id="428" w:name="_Toc1368"/>
      <w:bookmarkStart w:id="429" w:name="_Toc7414"/>
      <w:bookmarkStart w:id="430" w:name="_Toc83372968"/>
      <w:bookmarkStart w:id="431" w:name="_Toc23795"/>
      <w:bookmarkStart w:id="432" w:name="_Toc14316"/>
      <w:bookmarkStart w:id="433" w:name="_Toc6397"/>
      <w:bookmarkStart w:id="434" w:name="_Toc16498"/>
      <w:bookmarkStart w:id="435" w:name="_Toc5734"/>
      <w:bookmarkStart w:id="436" w:name="_Toc18184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Start w:id="437" w:name="_Toc22194"/>
      <w:bookmarkStart w:id="438" w:name="_Toc27730"/>
      <w:bookmarkStart w:id="439" w:name="_Toc67038529"/>
      <w:bookmarkStart w:id="440" w:name="_Toc3666"/>
      <w:bookmarkStart w:id="441" w:name="_Toc21676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全力强化舆论引导</w:t>
      </w:r>
      <w:bookmarkEnd w:id="437"/>
      <w:bookmarkEnd w:id="438"/>
      <w:bookmarkEnd w:id="439"/>
      <w:bookmarkEnd w:id="440"/>
      <w:bookmarkEnd w:id="44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凝聚共识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327"/>
    <w:bookmarkEnd w:id="328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406" w:bottom="1440" w:left="1689" w:header="851" w:footer="992" w:gutter="0"/>
      <w:pgNumType w:fmt="numberInDash" w:start="1"/>
      <w:cols w:space="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29 -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30 -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wZTA0NzY4MTg1MzY1ZmFhMGVjMGIzN2M1ZjBhOWEifQ=="/>
  </w:docVars>
  <w:rsids>
    <w:rsidRoot w:val="0041438E"/>
    <w:rsid w:val="00004C8E"/>
    <w:rsid w:val="00007954"/>
    <w:rsid w:val="000232C4"/>
    <w:rsid w:val="00026E07"/>
    <w:rsid w:val="00040A21"/>
    <w:rsid w:val="00041849"/>
    <w:rsid w:val="0006032F"/>
    <w:rsid w:val="00074F89"/>
    <w:rsid w:val="00096C52"/>
    <w:rsid w:val="000D0247"/>
    <w:rsid w:val="000F1133"/>
    <w:rsid w:val="00105D23"/>
    <w:rsid w:val="001148F8"/>
    <w:rsid w:val="00116C0D"/>
    <w:rsid w:val="00135B5C"/>
    <w:rsid w:val="00163684"/>
    <w:rsid w:val="001723BC"/>
    <w:rsid w:val="00173F2C"/>
    <w:rsid w:val="001A061B"/>
    <w:rsid w:val="001A635E"/>
    <w:rsid w:val="001C0E73"/>
    <w:rsid w:val="001D7F8A"/>
    <w:rsid w:val="001E0322"/>
    <w:rsid w:val="001E33F0"/>
    <w:rsid w:val="001F5E7E"/>
    <w:rsid w:val="002241A1"/>
    <w:rsid w:val="00224BF6"/>
    <w:rsid w:val="00253152"/>
    <w:rsid w:val="00266D3A"/>
    <w:rsid w:val="0027233E"/>
    <w:rsid w:val="002C692B"/>
    <w:rsid w:val="002D54A5"/>
    <w:rsid w:val="002E20B4"/>
    <w:rsid w:val="002E3036"/>
    <w:rsid w:val="002E6AF6"/>
    <w:rsid w:val="002F6D25"/>
    <w:rsid w:val="00305F9C"/>
    <w:rsid w:val="00311C54"/>
    <w:rsid w:val="00317D78"/>
    <w:rsid w:val="00337953"/>
    <w:rsid w:val="0037057D"/>
    <w:rsid w:val="00385A4D"/>
    <w:rsid w:val="003A2F95"/>
    <w:rsid w:val="003D18DD"/>
    <w:rsid w:val="003D25F9"/>
    <w:rsid w:val="003E4C27"/>
    <w:rsid w:val="003F38BE"/>
    <w:rsid w:val="0040595D"/>
    <w:rsid w:val="0041438E"/>
    <w:rsid w:val="004210A5"/>
    <w:rsid w:val="004216DD"/>
    <w:rsid w:val="00444C31"/>
    <w:rsid w:val="00446175"/>
    <w:rsid w:val="00470E7C"/>
    <w:rsid w:val="0047771A"/>
    <w:rsid w:val="004B48CF"/>
    <w:rsid w:val="004E0355"/>
    <w:rsid w:val="0050450E"/>
    <w:rsid w:val="00520E77"/>
    <w:rsid w:val="00553C9E"/>
    <w:rsid w:val="005551C8"/>
    <w:rsid w:val="00563234"/>
    <w:rsid w:val="00570832"/>
    <w:rsid w:val="0057348A"/>
    <w:rsid w:val="00575EF0"/>
    <w:rsid w:val="005A2915"/>
    <w:rsid w:val="005C37DA"/>
    <w:rsid w:val="005D2EB8"/>
    <w:rsid w:val="005D2EFB"/>
    <w:rsid w:val="005E3AE2"/>
    <w:rsid w:val="005E5E0B"/>
    <w:rsid w:val="0060257B"/>
    <w:rsid w:val="00614731"/>
    <w:rsid w:val="00614BFB"/>
    <w:rsid w:val="00633E63"/>
    <w:rsid w:val="0063794C"/>
    <w:rsid w:val="00642405"/>
    <w:rsid w:val="0064787D"/>
    <w:rsid w:val="0065619A"/>
    <w:rsid w:val="00673A8B"/>
    <w:rsid w:val="00690082"/>
    <w:rsid w:val="006958C8"/>
    <w:rsid w:val="0069758D"/>
    <w:rsid w:val="006A0751"/>
    <w:rsid w:val="006B0F14"/>
    <w:rsid w:val="006B342A"/>
    <w:rsid w:val="006B68F5"/>
    <w:rsid w:val="006C428E"/>
    <w:rsid w:val="006C4F7F"/>
    <w:rsid w:val="006E34ED"/>
    <w:rsid w:val="00700645"/>
    <w:rsid w:val="007449D9"/>
    <w:rsid w:val="0074771A"/>
    <w:rsid w:val="0076771E"/>
    <w:rsid w:val="007A683F"/>
    <w:rsid w:val="007E01CD"/>
    <w:rsid w:val="0080296F"/>
    <w:rsid w:val="008134BA"/>
    <w:rsid w:val="00817047"/>
    <w:rsid w:val="0082018C"/>
    <w:rsid w:val="0082185E"/>
    <w:rsid w:val="00823F88"/>
    <w:rsid w:val="00830110"/>
    <w:rsid w:val="00840232"/>
    <w:rsid w:val="00855CA1"/>
    <w:rsid w:val="00860090"/>
    <w:rsid w:val="00860147"/>
    <w:rsid w:val="00875C97"/>
    <w:rsid w:val="008A37A2"/>
    <w:rsid w:val="008A630F"/>
    <w:rsid w:val="008B51A6"/>
    <w:rsid w:val="008C7376"/>
    <w:rsid w:val="008F67E7"/>
    <w:rsid w:val="00920819"/>
    <w:rsid w:val="00920E7D"/>
    <w:rsid w:val="00921A32"/>
    <w:rsid w:val="00945367"/>
    <w:rsid w:val="009713D4"/>
    <w:rsid w:val="00982504"/>
    <w:rsid w:val="00983524"/>
    <w:rsid w:val="0098453A"/>
    <w:rsid w:val="00986056"/>
    <w:rsid w:val="009864F8"/>
    <w:rsid w:val="00995B79"/>
    <w:rsid w:val="009962CF"/>
    <w:rsid w:val="00996CFA"/>
    <w:rsid w:val="009A11B7"/>
    <w:rsid w:val="009B1524"/>
    <w:rsid w:val="009D6B6F"/>
    <w:rsid w:val="009D6C5B"/>
    <w:rsid w:val="009E0AE6"/>
    <w:rsid w:val="009E654F"/>
    <w:rsid w:val="00A16531"/>
    <w:rsid w:val="00A265E4"/>
    <w:rsid w:val="00A371ED"/>
    <w:rsid w:val="00A46C1C"/>
    <w:rsid w:val="00A809BE"/>
    <w:rsid w:val="00A86625"/>
    <w:rsid w:val="00AD5E8C"/>
    <w:rsid w:val="00AF7AE0"/>
    <w:rsid w:val="00B117C6"/>
    <w:rsid w:val="00B149DF"/>
    <w:rsid w:val="00B26146"/>
    <w:rsid w:val="00B36C41"/>
    <w:rsid w:val="00B451D1"/>
    <w:rsid w:val="00B517B0"/>
    <w:rsid w:val="00B55B7C"/>
    <w:rsid w:val="00B67555"/>
    <w:rsid w:val="00B86470"/>
    <w:rsid w:val="00BA1D26"/>
    <w:rsid w:val="00BB56DE"/>
    <w:rsid w:val="00BC08DD"/>
    <w:rsid w:val="00BC5477"/>
    <w:rsid w:val="00BE4D9D"/>
    <w:rsid w:val="00C07D25"/>
    <w:rsid w:val="00C16D39"/>
    <w:rsid w:val="00C342E8"/>
    <w:rsid w:val="00C40C42"/>
    <w:rsid w:val="00C54062"/>
    <w:rsid w:val="00C55AA3"/>
    <w:rsid w:val="00C6079B"/>
    <w:rsid w:val="00C81BA3"/>
    <w:rsid w:val="00C9626E"/>
    <w:rsid w:val="00CD64FF"/>
    <w:rsid w:val="00CE6FDB"/>
    <w:rsid w:val="00CF4355"/>
    <w:rsid w:val="00D032CD"/>
    <w:rsid w:val="00D21BA2"/>
    <w:rsid w:val="00D224E0"/>
    <w:rsid w:val="00D4384B"/>
    <w:rsid w:val="00D9233A"/>
    <w:rsid w:val="00DA3C62"/>
    <w:rsid w:val="00DB5018"/>
    <w:rsid w:val="00DE0ECB"/>
    <w:rsid w:val="00DF0500"/>
    <w:rsid w:val="00E81C81"/>
    <w:rsid w:val="00E97E69"/>
    <w:rsid w:val="00EB1CA3"/>
    <w:rsid w:val="00EE6CD5"/>
    <w:rsid w:val="00F11178"/>
    <w:rsid w:val="00F15D73"/>
    <w:rsid w:val="00F27218"/>
    <w:rsid w:val="00F41206"/>
    <w:rsid w:val="00F458D0"/>
    <w:rsid w:val="00F45F47"/>
    <w:rsid w:val="00F508C2"/>
    <w:rsid w:val="00F55917"/>
    <w:rsid w:val="00F65900"/>
    <w:rsid w:val="00F904C6"/>
    <w:rsid w:val="00FA1970"/>
    <w:rsid w:val="00FC0185"/>
    <w:rsid w:val="00FC7306"/>
    <w:rsid w:val="00FF35C6"/>
    <w:rsid w:val="044B1342"/>
    <w:rsid w:val="08464877"/>
    <w:rsid w:val="0BFC7C1A"/>
    <w:rsid w:val="0C752F77"/>
    <w:rsid w:val="0D27084F"/>
    <w:rsid w:val="11E903EC"/>
    <w:rsid w:val="14916BA0"/>
    <w:rsid w:val="16AD1FCE"/>
    <w:rsid w:val="1BAB04C0"/>
    <w:rsid w:val="1D0C7022"/>
    <w:rsid w:val="1EDF6DFF"/>
    <w:rsid w:val="215C6905"/>
    <w:rsid w:val="21B7287F"/>
    <w:rsid w:val="26710D92"/>
    <w:rsid w:val="27027B2E"/>
    <w:rsid w:val="28255649"/>
    <w:rsid w:val="29BF1D06"/>
    <w:rsid w:val="2C2D7974"/>
    <w:rsid w:val="2F3F2D31"/>
    <w:rsid w:val="3240775C"/>
    <w:rsid w:val="32C5202D"/>
    <w:rsid w:val="33167D02"/>
    <w:rsid w:val="34EC7F35"/>
    <w:rsid w:val="354E1CDC"/>
    <w:rsid w:val="35640647"/>
    <w:rsid w:val="35BE6C03"/>
    <w:rsid w:val="35E548A3"/>
    <w:rsid w:val="379F6CD3"/>
    <w:rsid w:val="382D0783"/>
    <w:rsid w:val="38B12E84"/>
    <w:rsid w:val="3AB7473B"/>
    <w:rsid w:val="3C746980"/>
    <w:rsid w:val="3DD05E38"/>
    <w:rsid w:val="3ECE6247"/>
    <w:rsid w:val="402A426D"/>
    <w:rsid w:val="40463AEF"/>
    <w:rsid w:val="417F05B7"/>
    <w:rsid w:val="41C90376"/>
    <w:rsid w:val="4643732E"/>
    <w:rsid w:val="46B045D7"/>
    <w:rsid w:val="46BF1D89"/>
    <w:rsid w:val="46E93981"/>
    <w:rsid w:val="489C4904"/>
    <w:rsid w:val="491662FE"/>
    <w:rsid w:val="4D4C7184"/>
    <w:rsid w:val="4ED20F2B"/>
    <w:rsid w:val="4FD317B8"/>
    <w:rsid w:val="51F74D12"/>
    <w:rsid w:val="594120F5"/>
    <w:rsid w:val="59A0270B"/>
    <w:rsid w:val="5EB3556E"/>
    <w:rsid w:val="629F7B0E"/>
    <w:rsid w:val="630C7063"/>
    <w:rsid w:val="635921BC"/>
    <w:rsid w:val="64062614"/>
    <w:rsid w:val="649410BE"/>
    <w:rsid w:val="68F30B42"/>
    <w:rsid w:val="6D6535F8"/>
    <w:rsid w:val="6DCA3808"/>
    <w:rsid w:val="6E853B0A"/>
    <w:rsid w:val="7047792D"/>
    <w:rsid w:val="715440AF"/>
    <w:rsid w:val="719B1CDE"/>
    <w:rsid w:val="723022DC"/>
    <w:rsid w:val="76981719"/>
    <w:rsid w:val="77403B39"/>
    <w:rsid w:val="7805518F"/>
    <w:rsid w:val="7B9B58F0"/>
    <w:rsid w:val="7C5807CC"/>
    <w:rsid w:val="7E9D0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snapToGrid w:val="0"/>
      <w:spacing w:before="120" w:after="120" w:line="240" w:lineRule="exact"/>
      <w:ind w:firstLine="624"/>
      <w:outlineLvl w:val="0"/>
    </w:pPr>
    <w:rPr>
      <w:rFonts w:eastAsia="方正仿宋_GBK"/>
      <w:b/>
      <w:color w:val="auto"/>
      <w:kern w:val="44"/>
      <w:sz w:val="28"/>
      <w:szCs w:val="20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color w:val="auto"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color w:val="auto"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3"/>
    <w:qFormat/>
    <w:uiPriority w:val="0"/>
    <w:pPr>
      <w:ind w:firstLine="200" w:firstLineChars="200"/>
    </w:pPr>
    <w:rPr>
      <w:szCs w:val="21"/>
    </w:rPr>
  </w:style>
  <w:style w:type="paragraph" w:styleId="3">
    <w:name w:val="Body Text"/>
    <w:basedOn w:val="1"/>
    <w:link w:val="25"/>
    <w:unhideWhenUsed/>
    <w:qFormat/>
    <w:uiPriority w:val="99"/>
    <w:pPr>
      <w:spacing w:after="120"/>
    </w:pPr>
    <w:rPr>
      <w:rFonts w:asciiTheme="minorHAnsi" w:hAnsiTheme="minorHAnsi" w:eastAsiaTheme="minorEastAsia" w:cstheme="minorBidi"/>
      <w:color w:val="auto"/>
      <w:sz w:val="21"/>
    </w:rPr>
  </w:style>
  <w:style w:type="paragraph" w:styleId="7">
    <w:name w:val="annotation text"/>
    <w:basedOn w:val="1"/>
    <w:link w:val="23"/>
    <w:qFormat/>
    <w:uiPriority w:val="0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rPr>
      <w:rFonts w:ascii="Calibri" w:hAnsi="Calibri" w:cs="Calibri"/>
      <w:color w:val="auto"/>
      <w:sz w:val="21"/>
      <w:szCs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目录 11"/>
    <w:basedOn w:val="1"/>
    <w:next w:val="1"/>
    <w:qFormat/>
    <w:uiPriority w:val="0"/>
    <w:rPr>
      <w:rFonts w:ascii="Calibri" w:hAnsi="Calibri" w:cs="Calibri"/>
      <w:color w:val="auto"/>
      <w:sz w:val="21"/>
      <w:szCs w:val="21"/>
    </w:rPr>
  </w:style>
  <w:style w:type="paragraph" w:customStyle="1" w:styleId="22">
    <w:name w:val="_Style 5"/>
    <w:basedOn w:val="1"/>
    <w:qFormat/>
    <w:uiPriority w:val="0"/>
    <w:pPr>
      <w:ind w:firstLine="200" w:firstLineChars="200"/>
    </w:pPr>
    <w:rPr>
      <w:rFonts w:cs="黑体"/>
      <w:szCs w:val="24"/>
    </w:rPr>
  </w:style>
  <w:style w:type="character" w:customStyle="1" w:styleId="23">
    <w:name w:val="批注文字 Char"/>
    <w:basedOn w:val="18"/>
    <w:link w:val="7"/>
    <w:qFormat/>
    <w:uiPriority w:val="0"/>
    <w:rPr>
      <w:rFonts w:ascii="Times New Roman" w:hAnsi="Times New Roman" w:eastAsia="宋体" w:cs="Times New Roman"/>
      <w:color w:val="000000"/>
      <w:sz w:val="24"/>
    </w:rPr>
  </w:style>
  <w:style w:type="character" w:customStyle="1" w:styleId="24">
    <w:name w:val="NormalCharacter"/>
    <w:qFormat/>
    <w:uiPriority w:val="0"/>
    <w:rPr>
      <w:rFonts w:ascii="Times New Roman" w:hAnsi="Times New Roman" w:eastAsia="宋体"/>
    </w:rPr>
  </w:style>
  <w:style w:type="character" w:customStyle="1" w:styleId="25">
    <w:name w:val="正文文本 Char"/>
    <w:basedOn w:val="18"/>
    <w:link w:val="3"/>
    <w:qFormat/>
    <w:uiPriority w:val="99"/>
  </w:style>
  <w:style w:type="character" w:customStyle="1" w:styleId="26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color w:val="000000"/>
      <w:kern w:val="2"/>
      <w:sz w:val="18"/>
      <w:szCs w:val="18"/>
    </w:rPr>
  </w:style>
  <w:style w:type="paragraph" w:customStyle="1" w:styleId="27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标题 3 字符"/>
    <w:basedOn w:val="18"/>
    <w:qFormat/>
    <w:uiPriority w:val="9"/>
    <w:rPr>
      <w:rFonts w:ascii="Times New Roman" w:hAnsi="Times New Roman" w:eastAsia="宋体" w:cs="Times New Roman"/>
      <w:b/>
      <w:bCs/>
      <w:color w:val="000000"/>
      <w:kern w:val="2"/>
      <w:sz w:val="32"/>
      <w:szCs w:val="3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3">
    <w:name w:val="正文首行缩进 Char"/>
    <w:basedOn w:val="2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34">
    <w:name w:val="日期 Char"/>
    <w:basedOn w:val="18"/>
    <w:link w:val="9"/>
    <w:semiHidden/>
    <w:qFormat/>
    <w:uiPriority w:val="99"/>
    <w:rPr>
      <w:color w:val="000000"/>
      <w:kern w:val="2"/>
      <w:sz w:val="24"/>
      <w:szCs w:val="22"/>
    </w:rPr>
  </w:style>
  <w:style w:type="character" w:customStyle="1" w:styleId="35">
    <w:name w:val="页脚 Char"/>
    <w:basedOn w:val="18"/>
    <w:link w:val="11"/>
    <w:qFormat/>
    <w:uiPriority w:val="99"/>
    <w:rPr>
      <w:color w:val="000000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225A-2625-4165-8977-6B96AE21D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17627</Words>
  <Characters>18132</Characters>
  <Lines>131</Lines>
  <Paragraphs>37</Paragraphs>
  <TotalTime>20</TotalTime>
  <ScaleCrop>false</ScaleCrop>
  <LinksUpToDate>false</LinksUpToDate>
  <CharactersWithSpaces>18227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2021-08-08T07:06:00Z</dcterms:created>
  <dc:creator>赵 兆甜</dc:creator>
  <cp:lastModifiedBy>阿旋</cp:lastModifiedBy>
  <cp:lastPrinted>2023-10-07T03:55:00Z</cp:lastPrinted>
  <dcterms:modified xsi:type="dcterms:W3CDTF">2023-10-08T03:11:29Z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00D3F54BC3714601B2695BC7A83FB601</vt:lpwstr>
  </property>
</Properties>
</file>