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ascii="方正小标宋简体" w:hAnsi="方正小标宋简体" w:eastAsia="方正小标宋简体" w:cs="方正小标宋简体"/>
          <w:bCs/>
          <w:spacing w:val="-9"/>
          <w:kern w:val="0"/>
          <w:sz w:val="44"/>
          <w:szCs w:val="44"/>
          <w:lang w:bidi="ar"/>
        </w:rPr>
      </w:pPr>
      <w:r>
        <w:rPr>
          <w:rFonts w:hint="eastAsia" w:ascii="方正小标宋简体" w:hAnsi="方正小标宋简体" w:eastAsia="方正小标宋简体" w:cs="方正小标宋简体"/>
          <w:bCs/>
          <w:spacing w:val="-9"/>
          <w:kern w:val="0"/>
          <w:sz w:val="44"/>
          <w:szCs w:val="44"/>
          <w:lang w:bidi="ar"/>
        </w:rPr>
        <w:t>阳江市</w:t>
      </w:r>
      <w:r>
        <w:rPr>
          <w:rFonts w:hint="eastAsia" w:ascii="方正小标宋简体" w:hAnsi="方正小标宋简体" w:eastAsia="方正小标宋简体" w:cs="方正小标宋简体"/>
          <w:bCs/>
          <w:spacing w:val="-9"/>
          <w:kern w:val="0"/>
          <w:sz w:val="44"/>
          <w:szCs w:val="44"/>
          <w:lang w:eastAsia="zh-CN" w:bidi="ar"/>
        </w:rPr>
        <w:t>江城区</w:t>
      </w:r>
      <w:r>
        <w:rPr>
          <w:rFonts w:hint="eastAsia" w:ascii="方正小标宋简体" w:hAnsi="方正小标宋简体" w:eastAsia="方正小标宋简体" w:cs="方正小标宋简体"/>
          <w:bCs/>
          <w:spacing w:val="-9"/>
          <w:kern w:val="0"/>
          <w:sz w:val="44"/>
          <w:szCs w:val="44"/>
          <w:lang w:bidi="ar"/>
        </w:rPr>
        <w:t>社会投资类工程建设</w:t>
      </w:r>
      <w:r>
        <w:rPr>
          <w:rFonts w:ascii="方正小标宋简体" w:hAnsi="方正小标宋简体" w:eastAsia="方正小标宋简体" w:cs="方正小标宋简体"/>
          <w:bCs/>
          <w:spacing w:val="-9"/>
          <w:kern w:val="0"/>
          <w:sz w:val="44"/>
          <w:szCs w:val="44"/>
          <w:lang w:bidi="ar"/>
        </w:rPr>
        <w:t>项目</w:t>
      </w:r>
    </w:p>
    <w:p>
      <w:pPr>
        <w:widowControl/>
        <w:spacing w:line="588" w:lineRule="exact"/>
        <w:jc w:val="center"/>
        <w:rPr>
          <w:rFonts w:ascii="方正小标宋简体" w:hAnsi="方正小标宋简体" w:eastAsia="方正小标宋简体" w:cs="方正小标宋简体"/>
          <w:bCs/>
          <w:spacing w:val="-9"/>
          <w:kern w:val="0"/>
          <w:sz w:val="44"/>
          <w:szCs w:val="44"/>
          <w:lang w:bidi="ar"/>
        </w:rPr>
      </w:pPr>
      <w:r>
        <w:rPr>
          <w:rFonts w:ascii="方正小标宋简体" w:hAnsi="方正小标宋简体" w:eastAsia="方正小标宋简体" w:cs="方正小标宋简体"/>
          <w:bCs/>
          <w:spacing w:val="-9"/>
          <w:kern w:val="0"/>
          <w:sz w:val="44"/>
          <w:szCs w:val="44"/>
          <w:lang w:bidi="ar"/>
        </w:rPr>
        <w:t>审批</w:t>
      </w:r>
      <w:r>
        <w:rPr>
          <w:rFonts w:hint="eastAsia" w:ascii="方正小标宋简体" w:hAnsi="方正小标宋简体" w:eastAsia="方正小标宋简体" w:cs="方正小标宋简体"/>
          <w:bCs/>
          <w:spacing w:val="-9"/>
          <w:kern w:val="0"/>
          <w:sz w:val="44"/>
          <w:szCs w:val="44"/>
          <w:lang w:bidi="ar"/>
        </w:rPr>
        <w:t>制度改革</w:t>
      </w:r>
      <w:r>
        <w:rPr>
          <w:rFonts w:ascii="方正小标宋简体" w:hAnsi="方正小标宋简体" w:eastAsia="方正小标宋简体" w:cs="方正小标宋简体"/>
          <w:bCs/>
          <w:spacing w:val="-9"/>
          <w:kern w:val="0"/>
          <w:sz w:val="44"/>
          <w:szCs w:val="44"/>
          <w:lang w:bidi="ar"/>
        </w:rPr>
        <w:t>实施细则</w:t>
      </w:r>
    </w:p>
    <w:p>
      <w:pPr>
        <w:widowControl/>
        <w:spacing w:line="588" w:lineRule="exact"/>
        <w:jc w:val="center"/>
        <w:rPr>
          <w:rFonts w:hint="eastAsia" w:ascii="方正仿宋简体" w:hAnsi="方正仿宋简体" w:eastAsia="方正仿宋简体" w:cs="方正仿宋简体"/>
          <w:bCs/>
          <w:spacing w:val="-9"/>
          <w:kern w:val="0"/>
          <w:sz w:val="32"/>
          <w:szCs w:val="32"/>
          <w:lang w:eastAsia="zh-CN" w:bidi="ar"/>
        </w:rPr>
      </w:pPr>
      <w:r>
        <w:rPr>
          <w:rFonts w:hint="eastAsia" w:ascii="方正仿宋简体" w:hAnsi="方正仿宋简体" w:eastAsia="方正仿宋简体" w:cs="方正仿宋简体"/>
          <w:bCs/>
          <w:spacing w:val="-9"/>
          <w:kern w:val="0"/>
          <w:sz w:val="32"/>
          <w:szCs w:val="32"/>
          <w:lang w:eastAsia="zh-CN" w:bidi="ar"/>
        </w:rPr>
        <w:t>（征求意见稿）</w:t>
      </w:r>
    </w:p>
    <w:p/>
    <w:p/>
    <w:p/>
    <w:p/>
    <w:p/>
    <w:p/>
    <w:p/>
    <w:p/>
    <w:p/>
    <w:p/>
    <w:p/>
    <w:p/>
    <w:p/>
    <w:p/>
    <w:p/>
    <w:p/>
    <w:p/>
    <w:p/>
    <w:p/>
    <w:p/>
    <w:p/>
    <w:p/>
    <w:p>
      <w:pPr>
        <w:widowControl/>
        <w:spacing w:line="588" w:lineRule="exact"/>
        <w:jc w:val="both"/>
        <w:rPr>
          <w:rFonts w:hint="eastAsia" w:ascii="黑体" w:hAnsi="宋体" w:eastAsia="黑体" w:cs="黑体"/>
          <w:kern w:val="0"/>
          <w:sz w:val="32"/>
          <w:szCs w:val="32"/>
          <w:lang w:eastAsia="zh-CN" w:bidi="ar"/>
        </w:rPr>
        <w:sectPr>
          <w:footerReference r:id="rId3" w:type="default"/>
          <w:pgSz w:w="11906" w:h="16838"/>
          <w:pgMar w:top="1440" w:right="1800" w:bottom="1440" w:left="1800" w:header="851" w:footer="992" w:gutter="0"/>
          <w:pgNumType w:fmt="decimal"/>
          <w:cols w:space="425" w:num="1"/>
          <w:docGrid w:type="lines" w:linePitch="312" w:charSpace="0"/>
        </w:sectPr>
      </w:pPr>
    </w:p>
    <w:p>
      <w:pPr>
        <w:widowControl/>
        <w:spacing w:line="588" w:lineRule="exact"/>
        <w:ind w:firstLine="640" w:firstLineChars="200"/>
        <w:jc w:val="center"/>
        <w:rPr>
          <w:rFonts w:hint="eastAsia" w:ascii="黑体" w:hAnsi="宋体" w:eastAsia="黑体" w:cs="黑体"/>
          <w:kern w:val="0"/>
          <w:sz w:val="32"/>
          <w:szCs w:val="32"/>
          <w:lang w:eastAsia="zh-CN" w:bidi="ar"/>
        </w:rPr>
      </w:pPr>
      <w:r>
        <w:rPr>
          <w:rFonts w:hint="eastAsia" w:ascii="黑体" w:hAnsi="宋体" w:eastAsia="黑体" w:cs="黑体"/>
          <w:kern w:val="0"/>
          <w:sz w:val="32"/>
          <w:szCs w:val="32"/>
          <w:lang w:eastAsia="zh-CN" w:bidi="ar"/>
        </w:rPr>
        <w:t>目</w:t>
      </w:r>
      <w:r>
        <w:rPr>
          <w:rFonts w:hint="eastAsia" w:ascii="黑体" w:hAnsi="宋体" w:eastAsia="黑体" w:cs="黑体"/>
          <w:kern w:val="0"/>
          <w:sz w:val="32"/>
          <w:szCs w:val="32"/>
          <w:lang w:val="en-US" w:eastAsia="zh-CN" w:bidi="ar"/>
        </w:rPr>
        <w:t xml:space="preserve">  </w:t>
      </w:r>
      <w:r>
        <w:rPr>
          <w:rFonts w:hint="eastAsia" w:ascii="黑体" w:hAnsi="宋体" w:eastAsia="黑体" w:cs="黑体"/>
          <w:kern w:val="0"/>
          <w:sz w:val="32"/>
          <w:szCs w:val="32"/>
          <w:lang w:eastAsia="zh-CN" w:bidi="ar"/>
        </w:rPr>
        <w:t>录</w:t>
      </w:r>
    </w:p>
    <w:p>
      <w:pPr>
        <w:pStyle w:val="4"/>
        <w:tabs>
          <w:tab w:val="right" w:leader="dot" w:pos="8306"/>
        </w:tabs>
      </w:pPr>
      <w:r>
        <w:fldChar w:fldCharType="begin"/>
      </w:r>
      <w:r>
        <w:instrText xml:space="preserve">TOC \o "1-3" \h \u </w:instrText>
      </w:r>
      <w:r>
        <w:fldChar w:fldCharType="separate"/>
      </w:r>
      <w:r>
        <w:fldChar w:fldCharType="begin"/>
      </w:r>
      <w:r>
        <w:instrText xml:space="preserve"> HYPERLINK \l _Toc23856 </w:instrText>
      </w:r>
      <w:r>
        <w:fldChar w:fldCharType="separate"/>
      </w:r>
      <w:r>
        <w:rPr>
          <w:rFonts w:hint="eastAsia" w:ascii="黑体" w:hAnsi="宋体" w:eastAsia="黑体" w:cs="黑体"/>
          <w:kern w:val="0"/>
          <w:szCs w:val="32"/>
          <w:lang w:bidi="ar"/>
        </w:rPr>
        <w:t>第一章  总 则</w:t>
      </w:r>
      <w:r>
        <w:tab/>
      </w:r>
      <w:r>
        <w:rPr>
          <w:rFonts w:hint="eastAsia"/>
          <w:lang w:val="en-US" w:eastAsia="zh-CN"/>
        </w:rPr>
        <w:t>1</w:t>
      </w:r>
      <w:r>
        <w:fldChar w:fldCharType="end"/>
      </w:r>
    </w:p>
    <w:p>
      <w:pPr>
        <w:pStyle w:val="5"/>
        <w:tabs>
          <w:tab w:val="right" w:leader="dot" w:pos="8306"/>
        </w:tabs>
      </w:pPr>
      <w:r>
        <w:fldChar w:fldCharType="begin"/>
      </w:r>
      <w:r>
        <w:instrText xml:space="preserve"> HYPERLINK \l _Toc6082 </w:instrText>
      </w:r>
      <w:r>
        <w:fldChar w:fldCharType="separate"/>
      </w:r>
      <w:r>
        <w:rPr>
          <w:rFonts w:ascii="楷体_GB2312" w:hAnsi="仿宋" w:eastAsia="楷体_GB2312" w:cs="仿宋"/>
          <w:kern w:val="0"/>
          <w:szCs w:val="32"/>
          <w:lang w:bidi="ar"/>
        </w:rPr>
        <w:t>第</w:t>
      </w:r>
      <w:r>
        <w:rPr>
          <w:rFonts w:hint="eastAsia" w:ascii="楷体_GB2312" w:hAnsi="仿宋" w:eastAsia="楷体_GB2312" w:cs="仿宋"/>
          <w:kern w:val="0"/>
          <w:szCs w:val="32"/>
          <w:lang w:bidi="ar"/>
        </w:rPr>
        <w:t>一</w:t>
      </w:r>
      <w:r>
        <w:rPr>
          <w:rFonts w:ascii="楷体_GB2312" w:hAnsi="仿宋" w:eastAsia="楷体_GB2312" w:cs="仿宋"/>
          <w:kern w:val="0"/>
          <w:szCs w:val="32"/>
          <w:lang w:bidi="ar"/>
        </w:rPr>
        <w:t xml:space="preserve">条 </w:t>
      </w:r>
      <w:r>
        <w:rPr>
          <w:rFonts w:hint="eastAsia" w:ascii="楷体_GB2312" w:hAnsi="仿宋" w:eastAsia="楷体_GB2312" w:cs="仿宋"/>
          <w:kern w:val="0"/>
          <w:szCs w:val="32"/>
          <w:lang w:bidi="ar"/>
        </w:rPr>
        <w:t>目的和依据</w:t>
      </w:r>
      <w:r>
        <w:tab/>
      </w:r>
      <w:r>
        <w:rPr>
          <w:rFonts w:hint="eastAsia"/>
          <w:lang w:val="en-US" w:eastAsia="zh-CN"/>
        </w:rPr>
        <w:t>1</w:t>
      </w:r>
      <w:r>
        <w:fldChar w:fldCharType="end"/>
      </w:r>
    </w:p>
    <w:p>
      <w:pPr>
        <w:pStyle w:val="5"/>
        <w:tabs>
          <w:tab w:val="right" w:leader="dot" w:pos="8306"/>
        </w:tabs>
      </w:pPr>
      <w:r>
        <w:fldChar w:fldCharType="begin"/>
      </w:r>
      <w:r>
        <w:instrText xml:space="preserve"> HYPERLINK \l _Toc20534 </w:instrText>
      </w:r>
      <w:r>
        <w:fldChar w:fldCharType="separate"/>
      </w:r>
      <w:r>
        <w:rPr>
          <w:rFonts w:hint="eastAsia" w:ascii="楷体_GB2312" w:hAnsi="仿宋" w:eastAsia="楷体_GB2312" w:cs="仿宋"/>
          <w:kern w:val="0"/>
          <w:szCs w:val="32"/>
          <w:lang w:bidi="ar"/>
        </w:rPr>
        <w:t>第二条 适用范围</w:t>
      </w:r>
      <w:r>
        <w:tab/>
      </w:r>
      <w:r>
        <w:rPr>
          <w:rFonts w:hint="eastAsia"/>
          <w:lang w:val="en-US" w:eastAsia="zh-CN"/>
        </w:rPr>
        <w:t>1</w:t>
      </w:r>
      <w:r>
        <w:fldChar w:fldCharType="end"/>
      </w:r>
    </w:p>
    <w:p>
      <w:pPr>
        <w:pStyle w:val="5"/>
        <w:tabs>
          <w:tab w:val="right" w:leader="dot" w:pos="8306"/>
        </w:tabs>
      </w:pPr>
      <w:r>
        <w:fldChar w:fldCharType="begin"/>
      </w:r>
      <w:r>
        <w:instrText xml:space="preserve"> HYPERLINK \l _Toc32463 </w:instrText>
      </w:r>
      <w:r>
        <w:fldChar w:fldCharType="separate"/>
      </w:r>
      <w:r>
        <w:rPr>
          <w:rFonts w:hint="eastAsia" w:ascii="楷体_GB2312" w:hAnsi="仿宋" w:eastAsia="楷体_GB2312" w:cs="仿宋"/>
          <w:kern w:val="0"/>
          <w:szCs w:val="32"/>
          <w:lang w:bidi="ar"/>
        </w:rPr>
        <w:t>第三条 实施原则</w:t>
      </w:r>
      <w:r>
        <w:tab/>
      </w:r>
      <w:r>
        <w:rPr>
          <w:rFonts w:hint="eastAsia"/>
          <w:lang w:val="en-US" w:eastAsia="zh-CN"/>
        </w:rPr>
        <w:t>1</w:t>
      </w:r>
      <w:r>
        <w:fldChar w:fldCharType="end"/>
      </w:r>
    </w:p>
    <w:p>
      <w:pPr>
        <w:pStyle w:val="5"/>
        <w:tabs>
          <w:tab w:val="right" w:leader="dot" w:pos="8306"/>
        </w:tabs>
      </w:pPr>
      <w:r>
        <w:fldChar w:fldCharType="begin"/>
      </w:r>
      <w:r>
        <w:instrText xml:space="preserve"> HYPERLINK \l _Toc31193 </w:instrText>
      </w:r>
      <w:r>
        <w:fldChar w:fldCharType="separate"/>
      </w:r>
      <w:r>
        <w:rPr>
          <w:rFonts w:hint="eastAsia" w:ascii="楷体_GB2312" w:hAnsi="仿宋" w:eastAsia="楷体_GB2312" w:cs="仿宋"/>
          <w:kern w:val="0"/>
          <w:szCs w:val="32"/>
          <w:lang w:bidi="ar"/>
        </w:rPr>
        <w:t>第四条 项目分类</w:t>
      </w:r>
      <w:r>
        <w:tab/>
      </w:r>
      <w:r>
        <w:rPr>
          <w:rFonts w:hint="eastAsia"/>
          <w:lang w:val="en-US" w:eastAsia="zh-CN"/>
        </w:rPr>
        <w:t>1</w:t>
      </w:r>
      <w:r>
        <w:fldChar w:fldCharType="end"/>
      </w:r>
    </w:p>
    <w:p>
      <w:pPr>
        <w:pStyle w:val="5"/>
        <w:tabs>
          <w:tab w:val="right" w:leader="dot" w:pos="8306"/>
        </w:tabs>
      </w:pPr>
      <w:r>
        <w:fldChar w:fldCharType="begin"/>
      </w:r>
      <w:r>
        <w:instrText xml:space="preserve"> HYPERLINK \l _Toc2094 </w:instrText>
      </w:r>
      <w:r>
        <w:fldChar w:fldCharType="separate"/>
      </w:r>
      <w:r>
        <w:rPr>
          <w:rFonts w:hint="eastAsia" w:ascii="楷体_GB2312" w:hAnsi="仿宋" w:eastAsia="楷体_GB2312" w:cs="仿宋"/>
          <w:kern w:val="0"/>
          <w:szCs w:val="32"/>
          <w:lang w:bidi="ar"/>
        </w:rPr>
        <w:t>第五条 在线平台</w:t>
      </w:r>
      <w:r>
        <w:tab/>
      </w:r>
      <w:r>
        <w:rPr>
          <w:rFonts w:hint="eastAsia"/>
          <w:lang w:val="en-US" w:eastAsia="zh-CN"/>
        </w:rPr>
        <w:t>2</w:t>
      </w:r>
      <w:r>
        <w:fldChar w:fldCharType="end"/>
      </w:r>
    </w:p>
    <w:p>
      <w:pPr>
        <w:pStyle w:val="5"/>
        <w:tabs>
          <w:tab w:val="right" w:leader="dot" w:pos="8306"/>
        </w:tabs>
      </w:pPr>
      <w:r>
        <w:fldChar w:fldCharType="begin"/>
      </w:r>
      <w:r>
        <w:instrText xml:space="preserve"> HYPERLINK \l _Toc25347 </w:instrText>
      </w:r>
      <w:r>
        <w:fldChar w:fldCharType="separate"/>
      </w:r>
      <w:r>
        <w:rPr>
          <w:rFonts w:hint="eastAsia" w:ascii="楷体_GB2312" w:hAnsi="仿宋" w:eastAsia="楷体_GB2312" w:cs="仿宋"/>
          <w:kern w:val="0"/>
          <w:szCs w:val="32"/>
          <w:lang w:bidi="ar"/>
        </w:rPr>
        <w:t>第六条 综合服务</w:t>
      </w:r>
      <w:r>
        <w:tab/>
      </w:r>
      <w:r>
        <w:rPr>
          <w:rFonts w:hint="eastAsia"/>
          <w:lang w:val="en-US" w:eastAsia="zh-CN"/>
        </w:rPr>
        <w:t>3</w:t>
      </w:r>
      <w:r>
        <w:fldChar w:fldCharType="end"/>
      </w:r>
    </w:p>
    <w:p>
      <w:pPr>
        <w:pStyle w:val="4"/>
        <w:tabs>
          <w:tab w:val="right" w:leader="dot" w:pos="8306"/>
        </w:tabs>
      </w:pPr>
      <w:r>
        <w:fldChar w:fldCharType="begin"/>
      </w:r>
      <w:r>
        <w:instrText xml:space="preserve"> HYPERLINK \l _Toc29811 </w:instrText>
      </w:r>
      <w:r>
        <w:fldChar w:fldCharType="separate"/>
      </w:r>
      <w:r>
        <w:rPr>
          <w:rFonts w:hint="eastAsia" w:ascii="黑体" w:hAnsi="宋体" w:eastAsia="黑体" w:cs="黑体"/>
          <w:kern w:val="0"/>
          <w:szCs w:val="32"/>
          <w:lang w:bidi="ar"/>
        </w:rPr>
        <w:t>第二章 职责分工</w:t>
      </w:r>
      <w:r>
        <w:tab/>
      </w:r>
      <w:r>
        <w:rPr>
          <w:rFonts w:hint="eastAsia"/>
          <w:lang w:val="en-US" w:eastAsia="zh-CN"/>
        </w:rPr>
        <w:t>3</w:t>
      </w:r>
      <w:r>
        <w:fldChar w:fldCharType="end"/>
      </w:r>
    </w:p>
    <w:p>
      <w:pPr>
        <w:pStyle w:val="5"/>
        <w:tabs>
          <w:tab w:val="right" w:leader="dot" w:pos="8306"/>
        </w:tabs>
      </w:pPr>
      <w:r>
        <w:fldChar w:fldCharType="begin"/>
      </w:r>
      <w:r>
        <w:instrText xml:space="preserve"> HYPERLINK \l _Toc9 </w:instrText>
      </w:r>
      <w:r>
        <w:fldChar w:fldCharType="separate"/>
      </w:r>
      <w:r>
        <w:rPr>
          <w:rFonts w:hint="eastAsia" w:ascii="楷体_GB2312" w:hAnsi="仿宋" w:eastAsia="楷体_GB2312" w:cs="仿宋"/>
          <w:kern w:val="0"/>
          <w:szCs w:val="32"/>
          <w:lang w:bidi="ar"/>
        </w:rPr>
        <w:t>第七条 职责分工</w:t>
      </w:r>
      <w:r>
        <w:tab/>
      </w:r>
      <w:r>
        <w:rPr>
          <w:rFonts w:hint="eastAsia"/>
          <w:lang w:val="en-US" w:eastAsia="zh-CN"/>
        </w:rPr>
        <w:t>3</w:t>
      </w:r>
      <w:r>
        <w:fldChar w:fldCharType="end"/>
      </w:r>
    </w:p>
    <w:p>
      <w:pPr>
        <w:pStyle w:val="4"/>
        <w:tabs>
          <w:tab w:val="right" w:leader="dot" w:pos="8306"/>
        </w:tabs>
      </w:pPr>
      <w:r>
        <w:fldChar w:fldCharType="begin"/>
      </w:r>
      <w:r>
        <w:instrText xml:space="preserve"> HYPERLINK \l _Toc27779 </w:instrText>
      </w:r>
      <w:r>
        <w:fldChar w:fldCharType="separate"/>
      </w:r>
      <w:r>
        <w:rPr>
          <w:rFonts w:hint="eastAsia" w:ascii="黑体" w:hAnsi="宋体" w:eastAsia="黑体" w:cs="黑体"/>
          <w:kern w:val="0"/>
          <w:szCs w:val="32"/>
          <w:lang w:bidi="ar"/>
        </w:rPr>
        <w:t>第三章 项目策划生成</w:t>
      </w:r>
      <w:r>
        <w:tab/>
      </w:r>
      <w:r>
        <w:rPr>
          <w:rFonts w:hint="eastAsia"/>
          <w:lang w:val="en-US" w:eastAsia="zh-CN"/>
        </w:rPr>
        <w:t>4</w:t>
      </w:r>
      <w:r>
        <w:fldChar w:fldCharType="end"/>
      </w:r>
    </w:p>
    <w:p>
      <w:pPr>
        <w:pStyle w:val="5"/>
        <w:tabs>
          <w:tab w:val="right" w:leader="dot" w:pos="8306"/>
        </w:tabs>
      </w:pPr>
      <w:r>
        <w:fldChar w:fldCharType="begin"/>
      </w:r>
      <w:r>
        <w:instrText xml:space="preserve"> HYPERLINK \l _Toc19603 </w:instrText>
      </w:r>
      <w:r>
        <w:fldChar w:fldCharType="separate"/>
      </w:r>
      <w:r>
        <w:rPr>
          <w:rFonts w:hint="eastAsia" w:ascii="楷体_GB2312" w:hAnsi="仿宋" w:eastAsia="楷体_GB2312" w:cs="仿宋"/>
          <w:kern w:val="0"/>
          <w:szCs w:val="32"/>
          <w:lang w:bidi="ar"/>
        </w:rPr>
        <w:t>第八条 总体要求</w:t>
      </w:r>
      <w:r>
        <w:tab/>
      </w:r>
      <w:r>
        <w:rPr>
          <w:rFonts w:hint="eastAsia"/>
          <w:lang w:val="en-US" w:eastAsia="zh-CN"/>
        </w:rPr>
        <w:t>4</w:t>
      </w:r>
      <w:r>
        <w:fldChar w:fldCharType="end"/>
      </w:r>
    </w:p>
    <w:p>
      <w:pPr>
        <w:pStyle w:val="5"/>
        <w:tabs>
          <w:tab w:val="right" w:leader="dot" w:pos="8306"/>
        </w:tabs>
      </w:pPr>
      <w:r>
        <w:fldChar w:fldCharType="begin"/>
      </w:r>
      <w:r>
        <w:instrText xml:space="preserve"> HYPERLINK \l _Toc598 </w:instrText>
      </w:r>
      <w:r>
        <w:fldChar w:fldCharType="separate"/>
      </w:r>
      <w:r>
        <w:rPr>
          <w:rFonts w:ascii="楷体_GB2312" w:hAnsi="仿宋" w:eastAsia="楷体_GB2312" w:cs="仿宋"/>
          <w:kern w:val="0"/>
          <w:szCs w:val="32"/>
          <w:lang w:bidi="ar"/>
        </w:rPr>
        <w:t>第</w:t>
      </w:r>
      <w:r>
        <w:rPr>
          <w:rFonts w:hint="eastAsia" w:ascii="楷体_GB2312" w:hAnsi="仿宋" w:eastAsia="楷体_GB2312" w:cs="仿宋"/>
          <w:kern w:val="0"/>
          <w:szCs w:val="32"/>
          <w:lang w:bidi="ar"/>
        </w:rPr>
        <w:t>九</w:t>
      </w:r>
      <w:r>
        <w:rPr>
          <w:rFonts w:ascii="楷体_GB2312" w:hAnsi="仿宋" w:eastAsia="楷体_GB2312" w:cs="仿宋"/>
          <w:kern w:val="0"/>
          <w:szCs w:val="32"/>
          <w:lang w:bidi="ar"/>
        </w:rPr>
        <w:t>条 “一张蓝图”和多规平台</w:t>
      </w:r>
      <w:r>
        <w:tab/>
      </w:r>
      <w:r>
        <w:rPr>
          <w:rFonts w:hint="eastAsia"/>
          <w:lang w:val="en-US" w:eastAsia="zh-CN"/>
        </w:rPr>
        <w:t>5</w:t>
      </w:r>
      <w:r>
        <w:fldChar w:fldCharType="end"/>
      </w:r>
    </w:p>
    <w:p>
      <w:pPr>
        <w:pStyle w:val="5"/>
        <w:tabs>
          <w:tab w:val="right" w:leader="dot" w:pos="8306"/>
        </w:tabs>
      </w:pPr>
      <w:r>
        <w:fldChar w:fldCharType="begin"/>
      </w:r>
      <w:r>
        <w:instrText xml:space="preserve"> HYPERLINK \l _Toc19427 </w:instrText>
      </w:r>
      <w:r>
        <w:fldChar w:fldCharType="separate"/>
      </w:r>
      <w:r>
        <w:rPr>
          <w:rFonts w:hint="eastAsia" w:ascii="楷体_GB2312" w:hAnsi="仿宋" w:eastAsia="楷体_GB2312" w:cs="仿宋"/>
          <w:bCs/>
          <w:kern w:val="0"/>
          <w:szCs w:val="32"/>
          <w:lang w:bidi="ar"/>
        </w:rPr>
        <w:t>第十条 项目储备</w:t>
      </w:r>
      <w:r>
        <w:tab/>
      </w:r>
      <w:r>
        <w:rPr>
          <w:rFonts w:hint="eastAsia"/>
          <w:lang w:val="en-US" w:eastAsia="zh-CN"/>
        </w:rPr>
        <w:t>5</w:t>
      </w:r>
      <w:r>
        <w:fldChar w:fldCharType="end"/>
      </w:r>
    </w:p>
    <w:p>
      <w:pPr>
        <w:pStyle w:val="5"/>
        <w:tabs>
          <w:tab w:val="right" w:leader="dot" w:pos="8306"/>
        </w:tabs>
      </w:pPr>
      <w:r>
        <w:fldChar w:fldCharType="begin"/>
      </w:r>
      <w:r>
        <w:instrText xml:space="preserve"> HYPERLINK \l _Toc10411 </w:instrText>
      </w:r>
      <w:r>
        <w:fldChar w:fldCharType="separate"/>
      </w:r>
      <w:r>
        <w:rPr>
          <w:rFonts w:hint="eastAsia" w:ascii="楷体_GB2312" w:hAnsi="仿宋" w:eastAsia="楷体_GB2312" w:cs="仿宋"/>
          <w:bCs/>
          <w:kern w:val="0"/>
          <w:szCs w:val="32"/>
          <w:lang w:bidi="ar"/>
        </w:rPr>
        <w:t>第十一条 年度实施</w:t>
      </w:r>
      <w:r>
        <w:tab/>
      </w:r>
      <w:r>
        <w:rPr>
          <w:rFonts w:hint="eastAsia"/>
          <w:lang w:val="en-US" w:eastAsia="zh-CN"/>
        </w:rPr>
        <w:t>6</w:t>
      </w:r>
      <w:r>
        <w:fldChar w:fldCharType="end"/>
      </w:r>
    </w:p>
    <w:p>
      <w:pPr>
        <w:pStyle w:val="5"/>
        <w:tabs>
          <w:tab w:val="right" w:leader="dot" w:pos="8306"/>
        </w:tabs>
      </w:pPr>
      <w:r>
        <w:fldChar w:fldCharType="begin"/>
      </w:r>
      <w:r>
        <w:instrText xml:space="preserve"> HYPERLINK \l _Toc14392 </w:instrText>
      </w:r>
      <w:r>
        <w:fldChar w:fldCharType="separate"/>
      </w:r>
      <w:r>
        <w:rPr>
          <w:rFonts w:hint="eastAsia" w:ascii="楷体_GB2312" w:hAnsi="仿宋" w:eastAsia="楷体_GB2312" w:cs="仿宋"/>
          <w:kern w:val="0"/>
          <w:szCs w:val="32"/>
          <w:lang w:bidi="ar"/>
        </w:rPr>
        <w:t xml:space="preserve">第十二条 </w:t>
      </w:r>
      <w:r>
        <w:rPr>
          <w:rFonts w:ascii="楷体_GB2312" w:hAnsi="仿宋" w:eastAsia="楷体_GB2312" w:cs="仿宋"/>
          <w:kern w:val="0"/>
          <w:szCs w:val="32"/>
          <w:lang w:bidi="ar"/>
        </w:rPr>
        <w:t>服务协同</w:t>
      </w:r>
      <w:r>
        <w:tab/>
      </w:r>
      <w:r>
        <w:rPr>
          <w:rFonts w:hint="eastAsia"/>
          <w:lang w:val="en-US" w:eastAsia="zh-CN"/>
        </w:rPr>
        <w:t>7</w:t>
      </w:r>
      <w:r>
        <w:fldChar w:fldCharType="end"/>
      </w:r>
    </w:p>
    <w:p>
      <w:pPr>
        <w:pStyle w:val="4"/>
        <w:tabs>
          <w:tab w:val="right" w:leader="dot" w:pos="8306"/>
        </w:tabs>
      </w:pPr>
      <w:r>
        <w:fldChar w:fldCharType="begin"/>
      </w:r>
      <w:r>
        <w:instrText xml:space="preserve"> HYPERLINK \l _Toc24918 </w:instrText>
      </w:r>
      <w:r>
        <w:fldChar w:fldCharType="separate"/>
      </w:r>
      <w:r>
        <w:rPr>
          <w:rFonts w:hint="eastAsia" w:ascii="黑体" w:hAnsi="宋体" w:eastAsia="黑体" w:cs="黑体"/>
          <w:kern w:val="0"/>
          <w:szCs w:val="32"/>
          <w:lang w:bidi="ar"/>
        </w:rPr>
        <w:t>第四章 审批流程再造</w:t>
      </w:r>
      <w:r>
        <w:tab/>
      </w:r>
      <w:r>
        <w:rPr>
          <w:rFonts w:hint="eastAsia"/>
          <w:lang w:val="en-US" w:eastAsia="zh-CN"/>
        </w:rPr>
        <w:t>9</w:t>
      </w:r>
      <w:r>
        <w:fldChar w:fldCharType="end"/>
      </w:r>
    </w:p>
    <w:p>
      <w:pPr>
        <w:pStyle w:val="5"/>
        <w:tabs>
          <w:tab w:val="right" w:leader="dot" w:pos="8306"/>
        </w:tabs>
      </w:pPr>
      <w:r>
        <w:fldChar w:fldCharType="begin"/>
      </w:r>
      <w:r>
        <w:instrText xml:space="preserve"> HYPERLINK \l _Toc16988 </w:instrText>
      </w:r>
      <w:r>
        <w:fldChar w:fldCharType="separate"/>
      </w:r>
      <w:r>
        <w:rPr>
          <w:rFonts w:hint="eastAsia" w:ascii="楷体_GB2312" w:hAnsi="仿宋" w:eastAsia="楷体_GB2312" w:cs="仿宋"/>
          <w:kern w:val="0"/>
          <w:szCs w:val="32"/>
          <w:lang w:bidi="ar"/>
        </w:rPr>
        <w:t>第十三条</w:t>
      </w:r>
      <w:r>
        <w:rPr>
          <w:rFonts w:ascii="楷体_GB2312" w:hAnsi="仿宋" w:eastAsia="楷体_GB2312" w:cs="仿宋"/>
          <w:kern w:val="0"/>
          <w:szCs w:val="32"/>
          <w:lang w:bidi="ar"/>
        </w:rPr>
        <w:t xml:space="preserve"> </w:t>
      </w:r>
      <w:r>
        <w:rPr>
          <w:rFonts w:hint="eastAsia" w:ascii="楷体_GB2312" w:hAnsi="仿宋" w:eastAsia="楷体_GB2312" w:cs="仿宋"/>
          <w:kern w:val="0"/>
          <w:szCs w:val="32"/>
          <w:lang w:bidi="ar"/>
        </w:rPr>
        <w:t>精简事项</w:t>
      </w:r>
      <w:r>
        <w:tab/>
      </w:r>
      <w:r>
        <w:rPr>
          <w:rFonts w:hint="eastAsia"/>
          <w:lang w:val="en-US" w:eastAsia="zh-CN"/>
        </w:rPr>
        <w:t>9</w:t>
      </w:r>
      <w:r>
        <w:fldChar w:fldCharType="end"/>
      </w:r>
    </w:p>
    <w:p>
      <w:pPr>
        <w:pStyle w:val="5"/>
        <w:tabs>
          <w:tab w:val="right" w:leader="dot" w:pos="8306"/>
        </w:tabs>
      </w:pPr>
      <w:r>
        <w:fldChar w:fldCharType="begin"/>
      </w:r>
      <w:r>
        <w:instrText xml:space="preserve"> HYPERLINK \l _Toc7961 </w:instrText>
      </w:r>
      <w:r>
        <w:fldChar w:fldCharType="separate"/>
      </w:r>
      <w:r>
        <w:rPr>
          <w:rFonts w:ascii="楷体_GB2312" w:hAnsi="仿宋" w:eastAsia="楷体_GB2312" w:cs="仿宋"/>
          <w:kern w:val="0"/>
          <w:szCs w:val="32"/>
          <w:lang w:bidi="ar"/>
        </w:rPr>
        <w:t>第十</w:t>
      </w:r>
      <w:r>
        <w:rPr>
          <w:rFonts w:hint="eastAsia" w:ascii="楷体_GB2312" w:hAnsi="仿宋" w:eastAsia="楷体_GB2312" w:cs="仿宋"/>
          <w:kern w:val="0"/>
          <w:szCs w:val="32"/>
          <w:lang w:bidi="ar"/>
        </w:rPr>
        <w:t>四</w:t>
      </w:r>
      <w:r>
        <w:rPr>
          <w:rFonts w:ascii="楷体_GB2312" w:hAnsi="仿宋" w:eastAsia="楷体_GB2312" w:cs="仿宋"/>
          <w:kern w:val="0"/>
          <w:szCs w:val="32"/>
          <w:lang w:bidi="ar"/>
        </w:rPr>
        <w:t>条 优化材料</w:t>
      </w:r>
      <w:r>
        <w:tab/>
      </w:r>
      <w:r>
        <w:rPr>
          <w:rFonts w:hint="eastAsia"/>
          <w:lang w:val="en-US" w:eastAsia="zh-CN"/>
        </w:rPr>
        <w:t>9</w:t>
      </w:r>
      <w:r>
        <w:fldChar w:fldCharType="end"/>
      </w:r>
    </w:p>
    <w:p>
      <w:pPr>
        <w:pStyle w:val="5"/>
        <w:tabs>
          <w:tab w:val="right" w:leader="dot" w:pos="8306"/>
        </w:tabs>
        <w:rPr>
          <w:rFonts w:hint="eastAsia" w:eastAsia="宋体"/>
          <w:lang w:val="en-US" w:eastAsia="zh-CN"/>
        </w:rPr>
      </w:pPr>
      <w:r>
        <w:fldChar w:fldCharType="begin"/>
      </w:r>
      <w:r>
        <w:instrText xml:space="preserve"> HYPERLINK \l _Toc2725 </w:instrText>
      </w:r>
      <w:r>
        <w:fldChar w:fldCharType="separate"/>
      </w:r>
      <w:r>
        <w:rPr>
          <w:rFonts w:ascii="楷体_GB2312" w:hAnsi="仿宋" w:eastAsia="楷体_GB2312" w:cs="仿宋"/>
          <w:kern w:val="0"/>
          <w:szCs w:val="32"/>
          <w:lang w:bidi="ar"/>
        </w:rPr>
        <w:t>第十</w:t>
      </w:r>
      <w:r>
        <w:rPr>
          <w:rFonts w:hint="eastAsia" w:ascii="楷体_GB2312" w:hAnsi="仿宋" w:eastAsia="楷体_GB2312" w:cs="仿宋"/>
          <w:kern w:val="0"/>
          <w:szCs w:val="32"/>
          <w:lang w:bidi="ar"/>
        </w:rPr>
        <w:t>五</w:t>
      </w:r>
      <w:r>
        <w:rPr>
          <w:rFonts w:ascii="楷体_GB2312" w:hAnsi="仿宋" w:eastAsia="楷体_GB2312" w:cs="仿宋"/>
          <w:kern w:val="0"/>
          <w:szCs w:val="32"/>
          <w:lang w:bidi="ar"/>
        </w:rPr>
        <w:t>条 简化程序</w:t>
      </w:r>
      <w:r>
        <w:tab/>
      </w:r>
      <w:r>
        <w:rPr>
          <w:rFonts w:hint="eastAsia"/>
          <w:lang w:val="en-US" w:eastAsia="zh-CN"/>
        </w:rPr>
        <w:t>1</w:t>
      </w:r>
      <w:r>
        <w:fldChar w:fldCharType="end"/>
      </w:r>
      <w:r>
        <w:rPr>
          <w:rFonts w:hint="eastAsia"/>
          <w:lang w:val="en-US" w:eastAsia="zh-CN"/>
        </w:rPr>
        <w:t>0</w:t>
      </w:r>
    </w:p>
    <w:p>
      <w:pPr>
        <w:pStyle w:val="4"/>
        <w:tabs>
          <w:tab w:val="right" w:leader="dot" w:pos="8306"/>
        </w:tabs>
        <w:rPr>
          <w:rFonts w:hint="eastAsia" w:eastAsia="宋体"/>
          <w:lang w:val="en-US" w:eastAsia="zh-CN"/>
        </w:rPr>
      </w:pPr>
      <w:r>
        <w:fldChar w:fldCharType="begin"/>
      </w:r>
      <w:r>
        <w:instrText xml:space="preserve"> HYPERLINK \l _Toc32549 </w:instrText>
      </w:r>
      <w:r>
        <w:fldChar w:fldCharType="separate"/>
      </w:r>
      <w:r>
        <w:rPr>
          <w:rFonts w:hint="eastAsia" w:ascii="黑体" w:hAnsi="宋体" w:eastAsia="黑体" w:cs="黑体"/>
          <w:kern w:val="0"/>
          <w:szCs w:val="32"/>
          <w:lang w:bidi="ar"/>
        </w:rPr>
        <w:t>第五章 审批流程</w:t>
      </w:r>
      <w:r>
        <w:tab/>
      </w:r>
      <w:r>
        <w:rPr>
          <w:rFonts w:hint="eastAsia"/>
          <w:lang w:val="en-US" w:eastAsia="zh-CN"/>
        </w:rPr>
        <w:t>1</w:t>
      </w:r>
      <w:r>
        <w:fldChar w:fldCharType="end"/>
      </w:r>
      <w:r>
        <w:rPr>
          <w:rFonts w:hint="eastAsia"/>
          <w:lang w:val="en-US" w:eastAsia="zh-CN"/>
        </w:rPr>
        <w:t>1</w:t>
      </w:r>
    </w:p>
    <w:p>
      <w:pPr>
        <w:pStyle w:val="5"/>
        <w:tabs>
          <w:tab w:val="right" w:leader="dot" w:pos="8306"/>
        </w:tabs>
        <w:rPr>
          <w:rFonts w:hint="eastAsia" w:eastAsia="宋体"/>
          <w:lang w:val="en-US" w:eastAsia="zh-CN"/>
        </w:rPr>
      </w:pPr>
      <w:r>
        <w:fldChar w:fldCharType="begin"/>
      </w:r>
      <w:r>
        <w:instrText xml:space="preserve"> HYPERLINK \l _Toc1773 </w:instrText>
      </w:r>
      <w:r>
        <w:fldChar w:fldCharType="separate"/>
      </w:r>
      <w:r>
        <w:rPr>
          <w:rFonts w:hint="eastAsia" w:ascii="楷体_GB2312" w:hAnsi="仿宋" w:eastAsia="楷体_GB2312" w:cs="仿宋"/>
          <w:kern w:val="0"/>
          <w:szCs w:val="32"/>
          <w:lang w:bidi="ar"/>
        </w:rPr>
        <w:t>第十六条 审批阶段</w:t>
      </w:r>
      <w:r>
        <w:tab/>
      </w:r>
      <w:r>
        <w:rPr>
          <w:rFonts w:hint="eastAsia"/>
          <w:lang w:val="en-US" w:eastAsia="zh-CN"/>
        </w:rPr>
        <w:t>1</w:t>
      </w:r>
      <w:r>
        <w:fldChar w:fldCharType="end"/>
      </w:r>
      <w:r>
        <w:rPr>
          <w:rFonts w:hint="eastAsia"/>
          <w:lang w:val="en-US" w:eastAsia="zh-CN"/>
        </w:rPr>
        <w:t>1</w:t>
      </w:r>
    </w:p>
    <w:p>
      <w:pPr>
        <w:pStyle w:val="5"/>
        <w:tabs>
          <w:tab w:val="right" w:leader="dot" w:pos="8306"/>
        </w:tabs>
        <w:rPr>
          <w:rFonts w:hint="eastAsia" w:eastAsia="宋体"/>
          <w:lang w:val="en-US" w:eastAsia="zh-CN"/>
        </w:rPr>
      </w:pPr>
      <w:r>
        <w:fldChar w:fldCharType="begin"/>
      </w:r>
      <w:r>
        <w:instrText xml:space="preserve"> HYPERLINK \l _Toc24496 </w:instrText>
      </w:r>
      <w:r>
        <w:fldChar w:fldCharType="separate"/>
      </w:r>
      <w:r>
        <w:rPr>
          <w:rFonts w:hint="eastAsia" w:ascii="楷体_GB2312" w:hAnsi="仿宋" w:eastAsia="楷体_GB2312" w:cs="仿宋"/>
          <w:kern w:val="0"/>
          <w:szCs w:val="32"/>
          <w:lang w:bidi="ar"/>
        </w:rPr>
        <w:t>第十七条 时限要求</w:t>
      </w:r>
      <w:r>
        <w:tab/>
      </w:r>
      <w:r>
        <w:rPr>
          <w:rFonts w:hint="eastAsia"/>
          <w:lang w:val="en-US" w:eastAsia="zh-CN"/>
        </w:rPr>
        <w:t>1</w:t>
      </w:r>
      <w:r>
        <w:fldChar w:fldCharType="end"/>
      </w:r>
      <w:r>
        <w:rPr>
          <w:rFonts w:hint="eastAsia"/>
          <w:lang w:val="en-US" w:eastAsia="zh-CN"/>
        </w:rPr>
        <w:t>2</w:t>
      </w:r>
    </w:p>
    <w:p>
      <w:pPr>
        <w:pStyle w:val="5"/>
        <w:tabs>
          <w:tab w:val="right" w:leader="dot" w:pos="8306"/>
        </w:tabs>
        <w:rPr>
          <w:rFonts w:hint="eastAsia" w:eastAsia="宋体"/>
          <w:lang w:val="en-US" w:eastAsia="zh-CN"/>
        </w:rPr>
      </w:pPr>
      <w:r>
        <w:fldChar w:fldCharType="begin"/>
      </w:r>
      <w:r>
        <w:instrText xml:space="preserve"> HYPERLINK \l _Toc25928 </w:instrText>
      </w:r>
      <w:r>
        <w:fldChar w:fldCharType="separate"/>
      </w:r>
      <w:r>
        <w:rPr>
          <w:rFonts w:hint="eastAsia" w:ascii="楷体_GB2312" w:hAnsi="仿宋" w:eastAsia="楷体_GB2312" w:cs="仿宋"/>
          <w:kern w:val="0"/>
          <w:szCs w:val="32"/>
          <w:lang w:bidi="ar"/>
        </w:rPr>
        <w:t>第十八条 实名认证</w:t>
      </w:r>
      <w:r>
        <w:tab/>
      </w:r>
      <w:r>
        <w:rPr>
          <w:rFonts w:hint="eastAsia"/>
          <w:lang w:val="en-US" w:eastAsia="zh-CN"/>
        </w:rPr>
        <w:t>1</w:t>
      </w:r>
      <w:r>
        <w:fldChar w:fldCharType="end"/>
      </w:r>
      <w:r>
        <w:rPr>
          <w:rFonts w:hint="eastAsia"/>
          <w:lang w:val="en-US" w:eastAsia="zh-CN"/>
        </w:rPr>
        <w:t>3</w:t>
      </w:r>
    </w:p>
    <w:p>
      <w:pPr>
        <w:pStyle w:val="5"/>
        <w:tabs>
          <w:tab w:val="right" w:leader="dot" w:pos="8306"/>
        </w:tabs>
        <w:rPr>
          <w:rFonts w:hint="eastAsia" w:eastAsia="宋体"/>
          <w:lang w:val="en-US" w:eastAsia="zh-CN"/>
        </w:rPr>
      </w:pPr>
      <w:r>
        <w:fldChar w:fldCharType="begin"/>
      </w:r>
      <w:r>
        <w:instrText xml:space="preserve"> HYPERLINK \l _Toc17484 </w:instrText>
      </w:r>
      <w:r>
        <w:fldChar w:fldCharType="separate"/>
      </w:r>
      <w:r>
        <w:rPr>
          <w:rFonts w:hint="eastAsia" w:ascii="楷体_GB2312" w:hAnsi="仿宋" w:eastAsia="楷体_GB2312" w:cs="仿宋"/>
          <w:kern w:val="0"/>
          <w:szCs w:val="32"/>
          <w:lang w:bidi="ar"/>
        </w:rPr>
        <w:t>第十九条 前期辅导</w:t>
      </w:r>
      <w:r>
        <w:tab/>
      </w:r>
      <w:r>
        <w:rPr>
          <w:rFonts w:hint="eastAsia"/>
          <w:lang w:val="en-US" w:eastAsia="zh-CN"/>
        </w:rPr>
        <w:t>1</w:t>
      </w:r>
      <w:r>
        <w:fldChar w:fldCharType="end"/>
      </w:r>
      <w:r>
        <w:rPr>
          <w:rFonts w:hint="eastAsia"/>
          <w:lang w:val="en-US" w:eastAsia="zh-CN"/>
        </w:rPr>
        <w:t>3</w:t>
      </w:r>
    </w:p>
    <w:p>
      <w:pPr>
        <w:pStyle w:val="5"/>
        <w:tabs>
          <w:tab w:val="right" w:leader="dot" w:pos="8306"/>
        </w:tabs>
        <w:rPr>
          <w:rFonts w:hint="eastAsia" w:eastAsia="宋体"/>
          <w:lang w:val="en-US" w:eastAsia="zh-CN"/>
        </w:rPr>
      </w:pPr>
      <w:r>
        <w:fldChar w:fldCharType="begin"/>
      </w:r>
      <w:r>
        <w:instrText xml:space="preserve"> HYPERLINK \l _Toc14730 </w:instrText>
      </w:r>
      <w:r>
        <w:fldChar w:fldCharType="separate"/>
      </w:r>
      <w:r>
        <w:rPr>
          <w:rFonts w:hint="eastAsia" w:ascii="楷体_GB2312" w:hAnsi="仿宋" w:eastAsia="楷体_GB2312" w:cs="仿宋"/>
          <w:kern w:val="0"/>
          <w:szCs w:val="32"/>
          <w:lang w:bidi="ar"/>
        </w:rPr>
        <w:t>第二十条 联合审图</w:t>
      </w:r>
      <w:r>
        <w:tab/>
      </w:r>
      <w:r>
        <w:rPr>
          <w:rFonts w:hint="eastAsia"/>
          <w:lang w:val="en-US" w:eastAsia="zh-CN"/>
        </w:rPr>
        <w:t>1</w:t>
      </w:r>
      <w:r>
        <w:fldChar w:fldCharType="end"/>
      </w:r>
      <w:r>
        <w:rPr>
          <w:rFonts w:hint="eastAsia"/>
          <w:lang w:val="en-US" w:eastAsia="zh-CN"/>
        </w:rPr>
        <w:t>4</w:t>
      </w:r>
    </w:p>
    <w:p>
      <w:pPr>
        <w:pStyle w:val="5"/>
        <w:tabs>
          <w:tab w:val="right" w:leader="dot" w:pos="8306"/>
        </w:tabs>
        <w:rPr>
          <w:rFonts w:hint="eastAsia" w:eastAsia="宋体"/>
          <w:lang w:val="en-US" w:eastAsia="zh-CN"/>
        </w:rPr>
      </w:pPr>
      <w:r>
        <w:fldChar w:fldCharType="begin"/>
      </w:r>
      <w:r>
        <w:instrText xml:space="preserve"> HYPERLINK \l _Toc15840 </w:instrText>
      </w:r>
      <w:r>
        <w:fldChar w:fldCharType="separate"/>
      </w:r>
      <w:r>
        <w:rPr>
          <w:rFonts w:hint="eastAsia" w:ascii="楷体_GB2312" w:hAnsi="仿宋" w:eastAsia="楷体_GB2312" w:cs="仿宋"/>
          <w:kern w:val="0"/>
          <w:szCs w:val="32"/>
          <w:lang w:bidi="ar"/>
        </w:rPr>
        <w:t>第二十一条 联合测绘</w:t>
      </w:r>
      <w:r>
        <w:tab/>
      </w:r>
      <w:r>
        <w:rPr>
          <w:rFonts w:hint="eastAsia"/>
          <w:lang w:val="en-US" w:eastAsia="zh-CN"/>
        </w:rPr>
        <w:t>1</w:t>
      </w:r>
      <w:r>
        <w:fldChar w:fldCharType="end"/>
      </w:r>
      <w:r>
        <w:rPr>
          <w:rFonts w:hint="eastAsia"/>
          <w:lang w:val="en-US" w:eastAsia="zh-CN"/>
        </w:rPr>
        <w:t>5</w:t>
      </w:r>
    </w:p>
    <w:p>
      <w:pPr>
        <w:pStyle w:val="5"/>
        <w:tabs>
          <w:tab w:val="right" w:leader="dot" w:pos="8306"/>
        </w:tabs>
        <w:rPr>
          <w:rFonts w:hint="eastAsia" w:eastAsia="宋体"/>
          <w:lang w:val="en-US" w:eastAsia="zh-CN"/>
        </w:rPr>
      </w:pPr>
      <w:r>
        <w:fldChar w:fldCharType="begin"/>
      </w:r>
      <w:r>
        <w:instrText xml:space="preserve"> HYPERLINK \l _Toc29658 </w:instrText>
      </w:r>
      <w:r>
        <w:fldChar w:fldCharType="separate"/>
      </w:r>
      <w:r>
        <w:rPr>
          <w:rFonts w:hint="eastAsia" w:ascii="楷体_GB2312" w:hAnsi="仿宋" w:eastAsia="楷体_GB2312" w:cs="仿宋"/>
          <w:kern w:val="0"/>
          <w:szCs w:val="32"/>
          <w:lang w:bidi="ar"/>
        </w:rPr>
        <w:t>第二十二条 项目申报</w:t>
      </w:r>
      <w:r>
        <w:tab/>
      </w:r>
      <w:r>
        <w:rPr>
          <w:rFonts w:hint="eastAsia"/>
          <w:lang w:val="en-US" w:eastAsia="zh-CN"/>
        </w:rPr>
        <w:t>1</w:t>
      </w:r>
      <w:r>
        <w:fldChar w:fldCharType="end"/>
      </w:r>
      <w:r>
        <w:rPr>
          <w:rFonts w:hint="eastAsia"/>
          <w:lang w:val="en-US" w:eastAsia="zh-CN"/>
        </w:rPr>
        <w:t>5</w:t>
      </w:r>
    </w:p>
    <w:p>
      <w:pPr>
        <w:pStyle w:val="5"/>
        <w:tabs>
          <w:tab w:val="right" w:leader="dot" w:pos="8306"/>
        </w:tabs>
        <w:rPr>
          <w:rFonts w:hint="eastAsia" w:eastAsia="宋体"/>
          <w:lang w:val="en-US" w:eastAsia="zh-CN"/>
        </w:rPr>
      </w:pPr>
      <w:r>
        <w:fldChar w:fldCharType="begin"/>
      </w:r>
      <w:r>
        <w:instrText xml:space="preserve"> HYPERLINK \l _Toc31599 </w:instrText>
      </w:r>
      <w:r>
        <w:fldChar w:fldCharType="separate"/>
      </w:r>
      <w:r>
        <w:rPr>
          <w:rFonts w:hint="eastAsia" w:ascii="楷体_GB2312" w:hAnsi="仿宋" w:eastAsia="楷体_GB2312" w:cs="仿宋"/>
          <w:kern w:val="0"/>
          <w:szCs w:val="32"/>
          <w:lang w:bidi="ar"/>
        </w:rPr>
        <w:t>第二十三条 综合预受理</w:t>
      </w:r>
      <w:r>
        <w:tab/>
      </w:r>
      <w:r>
        <w:rPr>
          <w:rFonts w:hint="eastAsia"/>
          <w:lang w:val="en-US" w:eastAsia="zh-CN"/>
        </w:rPr>
        <w:t>1</w:t>
      </w:r>
      <w:r>
        <w:fldChar w:fldCharType="end"/>
      </w:r>
      <w:r>
        <w:rPr>
          <w:rFonts w:hint="eastAsia"/>
          <w:lang w:val="en-US" w:eastAsia="zh-CN"/>
        </w:rPr>
        <w:t>6</w:t>
      </w:r>
    </w:p>
    <w:p>
      <w:pPr>
        <w:pStyle w:val="5"/>
        <w:tabs>
          <w:tab w:val="right" w:leader="dot" w:pos="8306"/>
        </w:tabs>
        <w:rPr>
          <w:rFonts w:hint="eastAsia" w:eastAsia="宋体"/>
          <w:lang w:val="en-US" w:eastAsia="zh-CN"/>
        </w:rPr>
      </w:pPr>
      <w:r>
        <w:fldChar w:fldCharType="begin"/>
      </w:r>
      <w:r>
        <w:instrText xml:space="preserve"> HYPERLINK \l _Toc20696 </w:instrText>
      </w:r>
      <w:r>
        <w:fldChar w:fldCharType="separate"/>
      </w:r>
      <w:r>
        <w:rPr>
          <w:rFonts w:hint="eastAsia" w:ascii="楷体_GB2312" w:hAnsi="仿宋" w:eastAsia="楷体_GB2312" w:cs="仿宋"/>
          <w:kern w:val="0"/>
          <w:szCs w:val="32"/>
          <w:lang w:bidi="ar"/>
        </w:rPr>
        <w:t>第二十四条 综合受理</w:t>
      </w:r>
      <w:r>
        <w:tab/>
      </w:r>
      <w:r>
        <w:rPr>
          <w:rFonts w:hint="eastAsia"/>
          <w:lang w:val="en-US" w:eastAsia="zh-CN"/>
        </w:rPr>
        <w:t>1</w:t>
      </w:r>
      <w:r>
        <w:fldChar w:fldCharType="end"/>
      </w:r>
      <w:r>
        <w:rPr>
          <w:rFonts w:hint="eastAsia"/>
          <w:lang w:val="en-US" w:eastAsia="zh-CN"/>
        </w:rPr>
        <w:t>7</w:t>
      </w:r>
    </w:p>
    <w:p>
      <w:pPr>
        <w:pStyle w:val="5"/>
        <w:tabs>
          <w:tab w:val="right" w:leader="dot" w:pos="8306"/>
        </w:tabs>
        <w:rPr>
          <w:rFonts w:hint="eastAsia" w:eastAsia="宋体"/>
          <w:lang w:val="en-US" w:eastAsia="zh-CN"/>
        </w:rPr>
      </w:pPr>
      <w:r>
        <w:fldChar w:fldCharType="begin"/>
      </w:r>
      <w:r>
        <w:instrText xml:space="preserve"> HYPERLINK \l _Toc4626 </w:instrText>
      </w:r>
      <w:r>
        <w:fldChar w:fldCharType="separate"/>
      </w:r>
      <w:r>
        <w:rPr>
          <w:rFonts w:hint="eastAsia" w:ascii="楷体_GB2312" w:hAnsi="仿宋" w:eastAsia="楷体_GB2312" w:cs="仿宋"/>
          <w:kern w:val="0"/>
          <w:szCs w:val="32"/>
          <w:lang w:bidi="ar"/>
        </w:rPr>
        <w:t>第二十五条 联合审批</w:t>
      </w:r>
      <w:r>
        <w:tab/>
      </w:r>
      <w:r>
        <w:rPr>
          <w:rFonts w:hint="eastAsia"/>
          <w:lang w:val="en-US" w:eastAsia="zh-CN"/>
        </w:rPr>
        <w:t>1</w:t>
      </w:r>
      <w:r>
        <w:fldChar w:fldCharType="end"/>
      </w:r>
      <w:r>
        <w:rPr>
          <w:rFonts w:hint="eastAsia"/>
          <w:lang w:val="en-US" w:eastAsia="zh-CN"/>
        </w:rPr>
        <w:t>7</w:t>
      </w:r>
    </w:p>
    <w:p>
      <w:pPr>
        <w:pStyle w:val="5"/>
        <w:tabs>
          <w:tab w:val="right" w:leader="dot" w:pos="8306"/>
        </w:tabs>
        <w:rPr>
          <w:rFonts w:hint="eastAsia" w:eastAsia="宋体"/>
          <w:lang w:val="en-US" w:eastAsia="zh-CN"/>
        </w:rPr>
      </w:pPr>
      <w:r>
        <w:fldChar w:fldCharType="begin"/>
      </w:r>
      <w:r>
        <w:instrText xml:space="preserve"> HYPERLINK \l _Toc14388 </w:instrText>
      </w:r>
      <w:r>
        <w:fldChar w:fldCharType="separate"/>
      </w:r>
      <w:r>
        <w:rPr>
          <w:rFonts w:hint="eastAsia" w:ascii="楷体_GB2312" w:hAnsi="仿宋" w:eastAsia="楷体_GB2312" w:cs="仿宋"/>
          <w:kern w:val="0"/>
          <w:szCs w:val="32"/>
          <w:lang w:bidi="ar"/>
        </w:rPr>
        <w:t>第二十六条 结果送达</w:t>
      </w:r>
      <w:r>
        <w:tab/>
      </w:r>
      <w:r>
        <w:rPr>
          <w:rFonts w:hint="eastAsia"/>
          <w:lang w:val="en-US" w:eastAsia="zh-CN"/>
        </w:rPr>
        <w:t>2</w:t>
      </w:r>
      <w:r>
        <w:fldChar w:fldCharType="end"/>
      </w:r>
      <w:r>
        <w:rPr>
          <w:rFonts w:hint="eastAsia"/>
          <w:lang w:val="en-US" w:eastAsia="zh-CN"/>
        </w:rPr>
        <w:t>1</w:t>
      </w:r>
    </w:p>
    <w:p>
      <w:pPr>
        <w:pStyle w:val="4"/>
        <w:tabs>
          <w:tab w:val="right" w:leader="dot" w:pos="8306"/>
        </w:tabs>
        <w:rPr>
          <w:rFonts w:hint="eastAsia" w:eastAsia="宋体"/>
          <w:lang w:val="en-US" w:eastAsia="zh-CN"/>
        </w:rPr>
      </w:pPr>
      <w:r>
        <w:fldChar w:fldCharType="begin"/>
      </w:r>
      <w:r>
        <w:instrText xml:space="preserve"> HYPERLINK \l _Toc15826 </w:instrText>
      </w:r>
      <w:r>
        <w:fldChar w:fldCharType="separate"/>
      </w:r>
      <w:r>
        <w:rPr>
          <w:rFonts w:hint="eastAsia" w:ascii="黑体" w:hAnsi="宋体" w:eastAsia="黑体" w:cs="黑体"/>
          <w:kern w:val="0"/>
          <w:szCs w:val="32"/>
          <w:lang w:bidi="ar"/>
        </w:rPr>
        <w:t>第六章 配套措施</w:t>
      </w:r>
      <w:r>
        <w:tab/>
      </w:r>
      <w:r>
        <w:rPr>
          <w:rFonts w:hint="eastAsia"/>
          <w:lang w:val="en-US" w:eastAsia="zh-CN"/>
        </w:rPr>
        <w:t>2</w:t>
      </w:r>
      <w:r>
        <w:fldChar w:fldCharType="end"/>
      </w:r>
      <w:r>
        <w:rPr>
          <w:rFonts w:hint="eastAsia"/>
          <w:lang w:val="en-US" w:eastAsia="zh-CN"/>
        </w:rPr>
        <w:t>2</w:t>
      </w:r>
    </w:p>
    <w:p>
      <w:pPr>
        <w:pStyle w:val="5"/>
        <w:tabs>
          <w:tab w:val="right" w:leader="dot" w:pos="8306"/>
        </w:tabs>
        <w:rPr>
          <w:rFonts w:hint="eastAsia" w:eastAsia="宋体"/>
          <w:lang w:val="en-US" w:eastAsia="zh-CN"/>
        </w:rPr>
      </w:pPr>
      <w:r>
        <w:fldChar w:fldCharType="begin"/>
      </w:r>
      <w:r>
        <w:instrText xml:space="preserve"> HYPERLINK \l _Toc25755 </w:instrText>
      </w:r>
      <w:r>
        <w:fldChar w:fldCharType="separate"/>
      </w:r>
      <w:r>
        <w:rPr>
          <w:rFonts w:hint="eastAsia" w:ascii="楷体_GB2312" w:hAnsi="仿宋" w:eastAsia="楷体_GB2312" w:cs="仿宋"/>
          <w:kern w:val="0"/>
          <w:szCs w:val="32"/>
          <w:lang w:bidi="ar"/>
        </w:rPr>
        <w:t>第二十七条 电子化应用</w:t>
      </w:r>
      <w:r>
        <w:tab/>
      </w:r>
      <w:r>
        <w:rPr>
          <w:rFonts w:hint="eastAsia"/>
          <w:lang w:val="en-US" w:eastAsia="zh-CN"/>
        </w:rPr>
        <w:t>2</w:t>
      </w:r>
      <w:r>
        <w:fldChar w:fldCharType="end"/>
      </w:r>
      <w:r>
        <w:rPr>
          <w:rFonts w:hint="eastAsia"/>
          <w:lang w:val="en-US" w:eastAsia="zh-CN"/>
        </w:rPr>
        <w:t>2</w:t>
      </w:r>
    </w:p>
    <w:p>
      <w:pPr>
        <w:pStyle w:val="5"/>
        <w:tabs>
          <w:tab w:val="right" w:leader="dot" w:pos="8306"/>
        </w:tabs>
        <w:rPr>
          <w:rFonts w:hint="eastAsia" w:eastAsia="宋体"/>
          <w:lang w:val="en-US" w:eastAsia="zh-CN"/>
        </w:rPr>
      </w:pPr>
      <w:r>
        <w:fldChar w:fldCharType="begin"/>
      </w:r>
      <w:r>
        <w:instrText xml:space="preserve"> HYPERLINK \l _Toc10822 </w:instrText>
      </w:r>
      <w:r>
        <w:fldChar w:fldCharType="separate"/>
      </w:r>
      <w:r>
        <w:rPr>
          <w:rFonts w:hint="eastAsia" w:ascii="楷体_GB2312" w:hAnsi="仿宋" w:eastAsia="楷体_GB2312" w:cs="仿宋"/>
          <w:kern w:val="0"/>
          <w:szCs w:val="32"/>
          <w:lang w:bidi="ar"/>
        </w:rPr>
        <w:t>第二十八条 建设单位</w:t>
      </w:r>
      <w:r>
        <w:tab/>
      </w:r>
      <w:r>
        <w:rPr>
          <w:rFonts w:hint="eastAsia"/>
          <w:lang w:val="en-US" w:eastAsia="zh-CN"/>
        </w:rPr>
        <w:t>2</w:t>
      </w:r>
      <w:r>
        <w:fldChar w:fldCharType="end"/>
      </w:r>
      <w:r>
        <w:rPr>
          <w:rFonts w:hint="eastAsia"/>
          <w:lang w:val="en-US" w:eastAsia="zh-CN"/>
        </w:rPr>
        <w:t>2</w:t>
      </w:r>
    </w:p>
    <w:p>
      <w:pPr>
        <w:pStyle w:val="5"/>
        <w:tabs>
          <w:tab w:val="right" w:leader="dot" w:pos="8306"/>
        </w:tabs>
        <w:rPr>
          <w:rFonts w:hint="eastAsia" w:eastAsia="宋体"/>
          <w:lang w:val="en-US" w:eastAsia="zh-CN"/>
        </w:rPr>
      </w:pPr>
      <w:r>
        <w:fldChar w:fldCharType="begin"/>
      </w:r>
      <w:r>
        <w:instrText xml:space="preserve"> HYPERLINK \l _Toc18532 </w:instrText>
      </w:r>
      <w:r>
        <w:fldChar w:fldCharType="separate"/>
      </w:r>
      <w:r>
        <w:rPr>
          <w:rFonts w:hint="eastAsia" w:ascii="楷体_GB2312" w:hAnsi="仿宋" w:eastAsia="楷体_GB2312" w:cs="仿宋"/>
          <w:kern w:val="0"/>
          <w:szCs w:val="32"/>
          <w:lang w:bidi="ar"/>
        </w:rPr>
        <w:t>第二十九条 监管平台</w:t>
      </w:r>
      <w:r>
        <w:tab/>
      </w:r>
      <w:r>
        <w:rPr>
          <w:rFonts w:hint="eastAsia"/>
          <w:lang w:val="en-US" w:eastAsia="zh-CN"/>
        </w:rPr>
        <w:t>2</w:t>
      </w:r>
      <w:r>
        <w:fldChar w:fldCharType="end"/>
      </w:r>
      <w:r>
        <w:rPr>
          <w:rFonts w:hint="eastAsia"/>
          <w:lang w:val="en-US" w:eastAsia="zh-CN"/>
        </w:rPr>
        <w:t>3</w:t>
      </w:r>
    </w:p>
    <w:p>
      <w:pPr>
        <w:pStyle w:val="5"/>
        <w:tabs>
          <w:tab w:val="right" w:leader="dot" w:pos="8306"/>
        </w:tabs>
        <w:rPr>
          <w:rFonts w:hint="eastAsia" w:eastAsia="宋体"/>
          <w:lang w:val="en-US" w:eastAsia="zh-CN"/>
        </w:rPr>
      </w:pPr>
      <w:r>
        <w:fldChar w:fldCharType="begin"/>
      </w:r>
      <w:r>
        <w:instrText xml:space="preserve"> HYPERLINK \l _Toc2332 </w:instrText>
      </w:r>
      <w:r>
        <w:fldChar w:fldCharType="separate"/>
      </w:r>
      <w:r>
        <w:rPr>
          <w:rFonts w:hint="eastAsia" w:ascii="楷体_GB2312" w:hAnsi="仿宋" w:eastAsia="楷体_GB2312" w:cs="仿宋"/>
          <w:kern w:val="0"/>
          <w:szCs w:val="32"/>
          <w:lang w:bidi="ar"/>
        </w:rPr>
        <w:t>第三十条 诚信体系</w:t>
      </w:r>
      <w:r>
        <w:tab/>
      </w:r>
      <w:r>
        <w:rPr>
          <w:rFonts w:hint="eastAsia"/>
          <w:lang w:val="en-US" w:eastAsia="zh-CN"/>
        </w:rPr>
        <w:t>2</w:t>
      </w:r>
      <w:r>
        <w:fldChar w:fldCharType="end"/>
      </w:r>
      <w:r>
        <w:rPr>
          <w:rFonts w:hint="eastAsia"/>
          <w:lang w:val="en-US" w:eastAsia="zh-CN"/>
        </w:rPr>
        <w:t>3</w:t>
      </w:r>
    </w:p>
    <w:p>
      <w:pPr>
        <w:pStyle w:val="5"/>
        <w:tabs>
          <w:tab w:val="right" w:leader="dot" w:pos="8306"/>
        </w:tabs>
        <w:rPr>
          <w:rFonts w:hint="eastAsia" w:eastAsia="宋体"/>
          <w:lang w:val="en-US" w:eastAsia="zh-CN"/>
        </w:rPr>
      </w:pPr>
      <w:r>
        <w:fldChar w:fldCharType="begin"/>
      </w:r>
      <w:r>
        <w:instrText xml:space="preserve"> HYPERLINK \l _Toc31853 </w:instrText>
      </w:r>
      <w:r>
        <w:fldChar w:fldCharType="separate"/>
      </w:r>
      <w:r>
        <w:rPr>
          <w:rFonts w:hint="eastAsia" w:ascii="楷体_GB2312" w:hAnsi="仿宋" w:eastAsia="楷体_GB2312" w:cs="仿宋"/>
          <w:kern w:val="0"/>
          <w:szCs w:val="32"/>
          <w:lang w:bidi="ar"/>
        </w:rPr>
        <w:t>第三十一条 中介管理</w:t>
      </w:r>
      <w:r>
        <w:tab/>
      </w:r>
      <w:r>
        <w:rPr>
          <w:rFonts w:hint="eastAsia"/>
          <w:lang w:val="en-US" w:eastAsia="zh-CN"/>
        </w:rPr>
        <w:t>2</w:t>
      </w:r>
      <w:r>
        <w:fldChar w:fldCharType="end"/>
      </w:r>
      <w:r>
        <w:rPr>
          <w:rFonts w:hint="eastAsia"/>
          <w:lang w:val="en-US" w:eastAsia="zh-CN"/>
        </w:rPr>
        <w:t>4</w:t>
      </w:r>
    </w:p>
    <w:p>
      <w:pPr>
        <w:pStyle w:val="5"/>
        <w:tabs>
          <w:tab w:val="right" w:leader="dot" w:pos="8306"/>
        </w:tabs>
        <w:rPr>
          <w:rFonts w:hint="eastAsia" w:eastAsia="宋体"/>
          <w:lang w:val="en-US" w:eastAsia="zh-CN"/>
        </w:rPr>
      </w:pPr>
      <w:r>
        <w:fldChar w:fldCharType="begin"/>
      </w:r>
      <w:r>
        <w:instrText xml:space="preserve"> HYPERLINK \l _Toc11770 </w:instrText>
      </w:r>
      <w:r>
        <w:fldChar w:fldCharType="separate"/>
      </w:r>
      <w:r>
        <w:rPr>
          <w:rFonts w:hint="eastAsia" w:ascii="楷体_GB2312" w:hAnsi="仿宋" w:eastAsia="楷体_GB2312" w:cs="仿宋"/>
          <w:kern w:val="0"/>
          <w:szCs w:val="32"/>
          <w:lang w:bidi="ar"/>
        </w:rPr>
        <w:t>第三十二条 风险管控</w:t>
      </w:r>
      <w:r>
        <w:tab/>
      </w:r>
      <w:r>
        <w:rPr>
          <w:rFonts w:hint="eastAsia"/>
          <w:lang w:val="en-US" w:eastAsia="zh-CN"/>
        </w:rPr>
        <w:t>2</w:t>
      </w:r>
      <w:r>
        <w:fldChar w:fldCharType="end"/>
      </w:r>
      <w:r>
        <w:rPr>
          <w:rFonts w:hint="eastAsia"/>
          <w:lang w:val="en-US" w:eastAsia="zh-CN"/>
        </w:rPr>
        <w:t>4</w:t>
      </w:r>
    </w:p>
    <w:p>
      <w:pPr>
        <w:pStyle w:val="4"/>
        <w:tabs>
          <w:tab w:val="right" w:leader="dot" w:pos="8306"/>
        </w:tabs>
        <w:rPr>
          <w:rFonts w:hint="eastAsia" w:eastAsia="宋体"/>
          <w:lang w:val="en-US" w:eastAsia="zh-CN"/>
        </w:rPr>
      </w:pPr>
      <w:r>
        <w:fldChar w:fldCharType="begin"/>
      </w:r>
      <w:r>
        <w:instrText xml:space="preserve"> HYPERLINK \l _Toc13056 </w:instrText>
      </w:r>
      <w:r>
        <w:fldChar w:fldCharType="separate"/>
      </w:r>
      <w:r>
        <w:rPr>
          <w:rFonts w:hint="eastAsia" w:ascii="黑体" w:hAnsi="宋体" w:eastAsia="黑体" w:cs="黑体"/>
          <w:kern w:val="0"/>
          <w:szCs w:val="32"/>
          <w:lang w:bidi="ar"/>
        </w:rPr>
        <w:t>第七章 附 则</w:t>
      </w:r>
      <w:r>
        <w:tab/>
      </w:r>
      <w:r>
        <w:rPr>
          <w:rFonts w:hint="eastAsia"/>
          <w:lang w:val="en-US" w:eastAsia="zh-CN"/>
        </w:rPr>
        <w:t>2</w:t>
      </w:r>
      <w:r>
        <w:fldChar w:fldCharType="end"/>
      </w:r>
      <w:r>
        <w:rPr>
          <w:rFonts w:hint="eastAsia"/>
          <w:lang w:val="en-US" w:eastAsia="zh-CN"/>
        </w:rPr>
        <w:t>4</w:t>
      </w:r>
    </w:p>
    <w:p>
      <w:pPr>
        <w:pStyle w:val="5"/>
        <w:tabs>
          <w:tab w:val="right" w:leader="dot" w:pos="8306"/>
        </w:tabs>
        <w:rPr>
          <w:rFonts w:hint="eastAsia" w:eastAsia="宋体"/>
          <w:lang w:val="en-US" w:eastAsia="zh-CN"/>
        </w:rPr>
      </w:pPr>
      <w:r>
        <w:fldChar w:fldCharType="begin"/>
      </w:r>
      <w:r>
        <w:instrText xml:space="preserve"> HYPERLINK \l _Toc25179 </w:instrText>
      </w:r>
      <w:r>
        <w:fldChar w:fldCharType="separate"/>
      </w:r>
      <w:r>
        <w:rPr>
          <w:rFonts w:hint="eastAsia" w:ascii="楷体_GB2312" w:hAnsi="仿宋" w:eastAsia="楷体_GB2312" w:cs="仿宋"/>
          <w:kern w:val="0"/>
          <w:szCs w:val="32"/>
          <w:lang w:bidi="ar"/>
        </w:rPr>
        <w:t>第三十三条 项目分类定义</w:t>
      </w:r>
      <w:r>
        <w:tab/>
      </w:r>
      <w:r>
        <w:rPr>
          <w:rFonts w:hint="eastAsia"/>
          <w:lang w:val="en-US" w:eastAsia="zh-CN"/>
        </w:rPr>
        <w:t>2</w:t>
      </w:r>
      <w:r>
        <w:fldChar w:fldCharType="end"/>
      </w:r>
      <w:r>
        <w:rPr>
          <w:rFonts w:hint="eastAsia"/>
          <w:lang w:val="en-US" w:eastAsia="zh-CN"/>
        </w:rPr>
        <w:t>4</w:t>
      </w:r>
    </w:p>
    <w:p>
      <w:pPr>
        <w:pStyle w:val="5"/>
        <w:tabs>
          <w:tab w:val="right" w:leader="dot" w:pos="8306"/>
        </w:tabs>
        <w:rPr>
          <w:rFonts w:hint="eastAsia" w:eastAsia="宋体"/>
          <w:lang w:val="en-US" w:eastAsia="zh-CN"/>
        </w:rPr>
      </w:pPr>
      <w:r>
        <w:fldChar w:fldCharType="begin"/>
      </w:r>
      <w:r>
        <w:instrText xml:space="preserve"> HYPERLINK \l _Toc14006 </w:instrText>
      </w:r>
      <w:r>
        <w:fldChar w:fldCharType="separate"/>
      </w:r>
      <w:r>
        <w:rPr>
          <w:rFonts w:hint="eastAsia" w:ascii="楷体_GB2312" w:hAnsi="仿宋" w:eastAsia="楷体_GB2312" w:cs="仿宋"/>
          <w:kern w:val="0"/>
          <w:szCs w:val="32"/>
          <w:lang w:bidi="ar"/>
        </w:rPr>
        <w:t>第三十四条 一次征询涉及部门及范围</w:t>
      </w:r>
      <w:r>
        <w:tab/>
      </w:r>
      <w:r>
        <w:rPr>
          <w:rFonts w:hint="eastAsia"/>
          <w:lang w:val="en-US" w:eastAsia="zh-CN"/>
        </w:rPr>
        <w:t>2</w:t>
      </w:r>
      <w:r>
        <w:fldChar w:fldCharType="end"/>
      </w:r>
      <w:r>
        <w:rPr>
          <w:rFonts w:hint="eastAsia"/>
          <w:lang w:val="en-US" w:eastAsia="zh-CN"/>
        </w:rPr>
        <w:t>5</w:t>
      </w:r>
    </w:p>
    <w:p>
      <w:pPr>
        <w:ind w:firstLine="420" w:firstLineChars="200"/>
        <w:rPr>
          <w:rFonts w:hint="eastAsia" w:ascii="方正小标宋简体" w:hAnsi="方正小标宋简体" w:eastAsia="宋体" w:cs="方正小标宋简体"/>
          <w:bCs/>
          <w:spacing w:val="-9"/>
          <w:kern w:val="0"/>
          <w:sz w:val="44"/>
          <w:szCs w:val="44"/>
          <w:lang w:val="en-US" w:eastAsia="zh-CN" w:bidi="ar"/>
        </w:rPr>
      </w:pPr>
      <w:r>
        <w:fldChar w:fldCharType="begin"/>
      </w:r>
      <w:r>
        <w:instrText xml:space="preserve"> HYPERLINK \l _Toc31054 </w:instrText>
      </w:r>
      <w:r>
        <w:fldChar w:fldCharType="separate"/>
      </w:r>
      <w:r>
        <w:rPr>
          <w:rFonts w:hint="eastAsia" w:ascii="楷体_GB2312" w:hAnsi="仿宋" w:eastAsia="楷体_GB2312" w:cs="仿宋"/>
          <w:kern w:val="0"/>
          <w:szCs w:val="32"/>
          <w:lang w:bidi="ar"/>
        </w:rPr>
        <w:t xml:space="preserve">第三十五条 </w:t>
      </w:r>
      <w:r>
        <w:rPr>
          <w:rFonts w:hint="eastAsia" w:ascii="楷体_GB2312" w:hAnsi="仿宋" w:eastAsia="楷体_GB2312" w:cs="仿宋"/>
          <w:kern w:val="0"/>
          <w:szCs w:val="32"/>
          <w:lang w:eastAsia="zh-CN" w:bidi="ar"/>
        </w:rPr>
        <w:t>发布实施</w:t>
      </w:r>
      <w:r>
        <w:tab/>
      </w:r>
      <w:r>
        <w:rPr>
          <w:rFonts w:hint="eastAsia"/>
          <w:lang w:val="en-US" w:eastAsia="zh-CN"/>
        </w:rPr>
        <w:t>..........................................................................................................2</w:t>
      </w:r>
      <w:r>
        <w:fldChar w:fldCharType="end"/>
      </w:r>
      <w:r>
        <w:fldChar w:fldCharType="end"/>
      </w:r>
      <w:r>
        <w:rPr>
          <w:rFonts w:hint="eastAsia"/>
          <w:lang w:val="en-US" w:eastAsia="zh-CN"/>
        </w:rPr>
        <w:t>7</w:t>
      </w:r>
    </w:p>
    <w:p>
      <w:pPr>
        <w:keepNext w:val="0"/>
        <w:keepLines w:val="0"/>
        <w:pageBreakBefore w:val="0"/>
        <w:widowControl/>
        <w:kinsoku/>
        <w:wordWrap/>
        <w:overflowPunct/>
        <w:topLinePunct w:val="0"/>
        <w:autoSpaceDE/>
        <w:bidi w:val="0"/>
        <w:adjustRightInd/>
        <w:snapToGrid/>
        <w:spacing w:before="0" w:beforeLines="0" w:after="0" w:afterLines="0" w:line="720" w:lineRule="auto"/>
        <w:ind w:left="0" w:leftChars="0" w:right="0" w:rightChars="0"/>
        <w:jc w:val="center"/>
        <w:textAlignment w:val="auto"/>
        <w:outlineLvl w:val="0"/>
        <w:rPr>
          <w:rFonts w:hint="eastAsia" w:ascii="黑体" w:hAnsi="黑体" w:eastAsia="黑体" w:cs="黑体"/>
          <w:b w:val="0"/>
          <w:bCs w:val="0"/>
          <w:kern w:val="0"/>
          <w:sz w:val="32"/>
          <w:szCs w:val="32"/>
          <w:lang w:bidi="ar"/>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0" w:name="_Toc14865"/>
      <w:bookmarkStart w:id="1" w:name="_Toc6298"/>
      <w:bookmarkStart w:id="2" w:name="_Toc23856"/>
    </w:p>
    <w:p>
      <w:pPr>
        <w:keepNext w:val="0"/>
        <w:keepLines w:val="0"/>
        <w:pageBreakBefore w:val="0"/>
        <w:widowControl/>
        <w:kinsoku/>
        <w:wordWrap/>
        <w:overflowPunct/>
        <w:topLinePunct w:val="0"/>
        <w:autoSpaceDE/>
        <w:bidi w:val="0"/>
        <w:adjustRightInd/>
        <w:snapToGrid/>
        <w:spacing w:before="0" w:beforeLines="0" w:after="0" w:afterLines="0" w:line="720" w:lineRule="auto"/>
        <w:ind w:left="0" w:leftChars="0" w:right="0" w:rightChars="0"/>
        <w:jc w:val="center"/>
        <w:textAlignment w:val="auto"/>
        <w:outlineLvl w:val="0"/>
        <w:rPr>
          <w:rFonts w:hint="eastAsia" w:ascii="黑体" w:hAnsi="黑体" w:eastAsia="黑体" w:cs="黑体"/>
          <w:b w:val="0"/>
          <w:bCs w:val="0"/>
          <w:kern w:val="0"/>
          <w:sz w:val="32"/>
          <w:szCs w:val="32"/>
          <w:lang w:bidi="ar"/>
        </w:rPr>
      </w:pPr>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center"/>
        <w:textAlignment w:val="auto"/>
        <w:outlineLvl w:val="0"/>
        <w:rPr>
          <w:rFonts w:hint="eastAsia" w:ascii="黑体" w:hAnsi="黑体" w:eastAsia="黑体"/>
          <w:b w:val="0"/>
          <w:bCs w:val="0"/>
          <w:sz w:val="32"/>
          <w:szCs w:val="32"/>
        </w:rPr>
      </w:pPr>
      <w:r>
        <w:rPr>
          <w:rFonts w:hint="eastAsia" w:ascii="黑体" w:hAnsi="黑体" w:eastAsia="黑体" w:cs="黑体"/>
          <w:b w:val="0"/>
          <w:bCs w:val="0"/>
          <w:kern w:val="0"/>
          <w:sz w:val="32"/>
          <w:szCs w:val="32"/>
          <w:lang w:bidi="ar"/>
        </w:rPr>
        <w:t>第一章  总 则</w:t>
      </w:r>
      <w:bookmarkEnd w:id="0"/>
      <w:bookmarkEnd w:id="1"/>
      <w:bookmarkEnd w:id="2"/>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仿宋"/>
          <w:kern w:val="0"/>
          <w:sz w:val="32"/>
          <w:szCs w:val="32"/>
          <w:lang w:bidi="ar"/>
        </w:rPr>
      </w:pPr>
      <w:bookmarkStart w:id="3" w:name="_Toc6082"/>
      <w:bookmarkStart w:id="4" w:name="_Toc4325"/>
      <w:bookmarkStart w:id="5" w:name="_Toc30027"/>
      <w:r>
        <w:rPr>
          <w:rFonts w:hint="eastAsia" w:ascii="楷体" w:hAnsi="楷体" w:eastAsia="楷体" w:cs="仿宋"/>
          <w:kern w:val="0"/>
          <w:sz w:val="32"/>
          <w:szCs w:val="32"/>
          <w:lang w:bidi="ar"/>
        </w:rPr>
        <w:t>第一条 目的和依据</w:t>
      </w:r>
      <w:bookmarkEnd w:id="3"/>
      <w:bookmarkEnd w:id="4"/>
      <w:bookmarkEnd w:id="5"/>
      <w:r>
        <w:rPr>
          <w:rFonts w:hint="eastAsia" w:ascii="楷体" w:hAnsi="楷体" w:eastAsia="楷体" w:cs="仿宋"/>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为加快转变政府职能，进一步优化提升全</w:t>
      </w:r>
      <w:r>
        <w:rPr>
          <w:rFonts w:hint="eastAsia" w:ascii="仿宋" w:hAnsi="仿宋" w:eastAsia="仿宋" w:cs="仿宋"/>
          <w:sz w:val="32"/>
          <w:szCs w:val="32"/>
          <w:lang w:eastAsia="zh-CN"/>
        </w:rPr>
        <w:t>区</w:t>
      </w:r>
      <w:r>
        <w:rPr>
          <w:rFonts w:hint="eastAsia" w:ascii="仿宋" w:hAnsi="仿宋" w:eastAsia="仿宋" w:cs="仿宋"/>
          <w:sz w:val="32"/>
          <w:szCs w:val="32"/>
        </w:rPr>
        <w:t>营商环境，提高工程建设项目审批效率，构建统一规范、系统协同、便捷高效的工程建设项目审批体系，根据国务院关于工程建设项目审批制度改革的精神，依据《阳江市</w:t>
      </w:r>
      <w:r>
        <w:rPr>
          <w:rFonts w:hint="eastAsia" w:ascii="仿宋" w:hAnsi="仿宋" w:eastAsia="仿宋" w:cs="仿宋"/>
          <w:sz w:val="32"/>
          <w:szCs w:val="32"/>
          <w:lang w:eastAsia="zh-CN"/>
        </w:rPr>
        <w:t>江城区</w:t>
      </w:r>
      <w:r>
        <w:rPr>
          <w:rFonts w:hint="eastAsia" w:ascii="仿宋" w:hAnsi="仿宋" w:eastAsia="仿宋" w:cs="仿宋"/>
          <w:sz w:val="32"/>
          <w:szCs w:val="32"/>
        </w:rPr>
        <w:t>工程建设项目审批制度改革实施方案》，结合我</w:t>
      </w:r>
      <w:r>
        <w:rPr>
          <w:rFonts w:hint="eastAsia" w:ascii="仿宋" w:hAnsi="仿宋" w:eastAsia="仿宋" w:cs="仿宋"/>
          <w:sz w:val="32"/>
          <w:szCs w:val="32"/>
          <w:lang w:eastAsia="zh-CN"/>
        </w:rPr>
        <w:t>区</w:t>
      </w:r>
      <w:r>
        <w:rPr>
          <w:rFonts w:hint="eastAsia" w:ascii="仿宋" w:hAnsi="仿宋" w:eastAsia="仿宋" w:cs="仿宋"/>
          <w:sz w:val="32"/>
          <w:szCs w:val="32"/>
        </w:rPr>
        <w:t>实际，制定本实施细则。</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jc w:val="left"/>
        <w:textAlignment w:val="auto"/>
        <w:outlineLvl w:val="1"/>
        <w:rPr>
          <w:rFonts w:hint="eastAsia" w:ascii="楷体" w:hAnsi="楷体" w:eastAsia="楷体" w:cs="楷体"/>
          <w:kern w:val="0"/>
          <w:sz w:val="32"/>
          <w:szCs w:val="32"/>
          <w:lang w:bidi="ar"/>
        </w:rPr>
      </w:pPr>
      <w:bookmarkStart w:id="6" w:name="_Toc25643"/>
      <w:bookmarkStart w:id="7" w:name="_Toc4431"/>
      <w:bookmarkStart w:id="8" w:name="_Toc20534"/>
      <w:r>
        <w:rPr>
          <w:rFonts w:hint="eastAsia" w:ascii="楷体" w:hAnsi="楷体" w:eastAsia="楷体" w:cs="楷体"/>
          <w:kern w:val="0"/>
          <w:sz w:val="32"/>
          <w:szCs w:val="32"/>
          <w:lang w:bidi="ar"/>
        </w:rPr>
        <w:t>第二条 适用范围</w:t>
      </w:r>
      <w:bookmarkEnd w:id="6"/>
      <w:bookmarkEnd w:id="7"/>
      <w:bookmarkEnd w:id="8"/>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本实施细则适用于全</w:t>
      </w:r>
      <w:r>
        <w:rPr>
          <w:rFonts w:hint="eastAsia" w:ascii="仿宋" w:hAnsi="仿宋" w:eastAsia="仿宋" w:cs="仿宋"/>
          <w:sz w:val="32"/>
          <w:szCs w:val="32"/>
          <w:lang w:eastAsia="zh-CN"/>
        </w:rPr>
        <w:t>区</w:t>
      </w:r>
      <w:r>
        <w:rPr>
          <w:rFonts w:hint="eastAsia" w:ascii="仿宋" w:hAnsi="仿宋" w:eastAsia="仿宋" w:cs="仿宋"/>
          <w:sz w:val="32"/>
          <w:szCs w:val="32"/>
        </w:rPr>
        <w:t>范围内新建、改建、扩建的社会投资的工程建设项目。适用于工程建设项目从立项用地规划到竣工验收和公共设施接入。覆盖行政审批和技术评审、中介服务、市政公共服务以及备案事项，审批权限在国家</w:t>
      </w:r>
      <w:r>
        <w:rPr>
          <w:rFonts w:hint="eastAsia" w:ascii="仿宋" w:hAnsi="仿宋" w:eastAsia="仿宋" w:cs="仿宋"/>
          <w:sz w:val="32"/>
          <w:szCs w:val="32"/>
          <w:lang w:eastAsia="zh-CN"/>
        </w:rPr>
        <w:t>、省或市</w:t>
      </w:r>
      <w:r>
        <w:rPr>
          <w:rFonts w:hint="eastAsia" w:ascii="仿宋" w:hAnsi="仿宋" w:eastAsia="仿宋" w:cs="仿宋"/>
          <w:sz w:val="32"/>
          <w:szCs w:val="32"/>
        </w:rPr>
        <w:t>的事项从其规定。</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9" w:name="_Toc25229"/>
      <w:bookmarkStart w:id="10" w:name="_Toc10658"/>
      <w:bookmarkStart w:id="11" w:name="_Toc32463"/>
      <w:r>
        <w:rPr>
          <w:rFonts w:hint="eastAsia" w:ascii="楷体" w:hAnsi="楷体" w:eastAsia="楷体" w:cs="楷体"/>
          <w:kern w:val="0"/>
          <w:sz w:val="32"/>
          <w:szCs w:val="32"/>
          <w:lang w:bidi="ar"/>
        </w:rPr>
        <w:t>第三条 实施原则</w:t>
      </w:r>
      <w:bookmarkEnd w:id="9"/>
      <w:bookmarkEnd w:id="10"/>
      <w:bookmarkEnd w:id="11"/>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部门应按照主动服务、优化审批、改进方式、放管并重的原则，按照政府职能转变的要求，改善职权行使方式，简化审批受理材料，优化办理环节，加强各部门之间的协作，实行主办负责制，避免重复审批、重合管理，在审批过程中</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主动指导、协同推进，积极协调解决相关问题。涉及国家、省</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的</w:t>
      </w:r>
      <w:r>
        <w:rPr>
          <w:rFonts w:hint="eastAsia" w:ascii="仿宋" w:hAnsi="仿宋" w:eastAsia="仿宋" w:cs="仿宋"/>
          <w:sz w:val="32"/>
          <w:szCs w:val="32"/>
        </w:rPr>
        <w:t>审批事项要积极帮助协调。</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12" w:name="_Toc44"/>
      <w:bookmarkStart w:id="13" w:name="_Toc5072"/>
      <w:bookmarkStart w:id="14" w:name="_Toc31193"/>
      <w:r>
        <w:rPr>
          <w:rFonts w:hint="eastAsia" w:ascii="楷体" w:hAnsi="楷体" w:eastAsia="楷体" w:cs="楷体"/>
          <w:kern w:val="0"/>
          <w:sz w:val="32"/>
          <w:szCs w:val="32"/>
          <w:lang w:bidi="ar"/>
        </w:rPr>
        <w:t>第四条 项目分类</w:t>
      </w:r>
      <w:bookmarkEnd w:id="12"/>
      <w:bookmarkEnd w:id="13"/>
      <w:bookmarkEnd w:id="14"/>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社会投资类项目指利用社会资本开展的新建、改建、扩建的工程建设项目，划分为工业项目、带方案出让用地项目、社会投资小型项目、其他项目，单列装饰装修工程。</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15" w:name="_Toc2094"/>
      <w:bookmarkStart w:id="16" w:name="_Toc12334"/>
      <w:bookmarkStart w:id="17" w:name="_Toc31686"/>
      <w:r>
        <w:rPr>
          <w:rFonts w:hint="eastAsia" w:ascii="楷体" w:hAnsi="楷体" w:eastAsia="楷体" w:cs="楷体"/>
          <w:kern w:val="0"/>
          <w:sz w:val="32"/>
          <w:szCs w:val="32"/>
          <w:lang w:bidi="ar"/>
        </w:rPr>
        <w:t>第五条 在线平台</w:t>
      </w:r>
      <w:bookmarkEnd w:id="15"/>
      <w:bookmarkEnd w:id="16"/>
      <w:bookmarkEnd w:id="17"/>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构建集政务服务、部门审批、在线监督为一体的工程建设项目审批服务平台（以下简称“审批服务平台”），覆盖</w:t>
      </w:r>
      <w:r>
        <w:rPr>
          <w:rFonts w:hint="eastAsia" w:ascii="仿宋" w:hAnsi="仿宋" w:eastAsia="仿宋" w:cs="仿宋"/>
          <w:color w:val="auto"/>
          <w:sz w:val="32"/>
          <w:szCs w:val="32"/>
        </w:rPr>
        <w:t>各部门和市、县（市、区）各层级</w:t>
      </w:r>
      <w:r>
        <w:rPr>
          <w:rFonts w:hint="eastAsia" w:ascii="仿宋" w:hAnsi="仿宋" w:eastAsia="仿宋" w:cs="仿宋"/>
          <w:sz w:val="32"/>
          <w:szCs w:val="32"/>
        </w:rPr>
        <w:t>，是工程建设项目相关事项跨部门协同办理的平台。同时与“多规合一”管理平台、在线电子审图系统、各部门审批系统、网上中介服务超市等信息平台互联互通，推动项目信息、图纸资料、审批结果和监管信息全程共享，实现全流程网上无纸化审批。审批服务平台汇集的信息真实性、完整性由信息提供方负责，并直接作为审批依据，各部门可根据审批服务平台调取的信息办理审批。</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eastAsia="zh-CN"/>
        </w:rPr>
        <w:t>区</w:t>
      </w:r>
      <w:r>
        <w:rPr>
          <w:rFonts w:hint="eastAsia" w:ascii="仿宋" w:hAnsi="仿宋" w:eastAsia="仿宋" w:cs="仿宋"/>
          <w:sz w:val="32"/>
          <w:szCs w:val="32"/>
        </w:rPr>
        <w:t>工程建设项目审批统一通过“广东政务服务网（阳江</w:t>
      </w:r>
      <w:r>
        <w:rPr>
          <w:rFonts w:hint="eastAsia" w:ascii="仿宋" w:hAnsi="仿宋" w:eastAsia="仿宋" w:cs="仿宋"/>
          <w:sz w:val="32"/>
          <w:szCs w:val="32"/>
          <w:lang w:eastAsia="zh-CN"/>
        </w:rPr>
        <w:t>江城</w:t>
      </w:r>
      <w:r>
        <w:rPr>
          <w:rFonts w:hint="eastAsia" w:ascii="仿宋" w:hAnsi="仿宋" w:eastAsia="仿宋" w:cs="仿宋"/>
          <w:sz w:val="32"/>
          <w:szCs w:val="32"/>
        </w:rPr>
        <w:t>）”（以下简称“政务服务网”）申请办理，通过投资项目在线审批监管平台获取项目代码，申请采用实名制并注明项目代码，加强执行项目代码制度，以项目代码作为项目唯一身份识别，受理、审批、建设、监管业务，项目审批文件、招投标、公共资源交易、监督检查、行政处罚等项目信息统一汇集至项目代码。</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部门审批业务系统的审批过程和结果信息须实时流转至审批服务平台，各部门应指定人员负责处理本部门审批业务系统与审批服务平台数据交换及其他业务运行的异常问题，确保本部门审批业务系统与审批服务平台双向实时连通，制定异常问题应急解决预案，确保本部门信息系统稳定运行。</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区</w:t>
      </w:r>
      <w:r>
        <w:rPr>
          <w:rFonts w:hint="eastAsia" w:ascii="仿宋" w:hAnsi="仿宋" w:eastAsia="仿宋" w:cs="仿宋"/>
          <w:sz w:val="32"/>
          <w:szCs w:val="32"/>
        </w:rPr>
        <w:t>政务服务数据管理部门负责审批服务平台的运行维护和数据管理。根据项目报建需求，拟定业务信息共享要求，配置审批业务链条、事项材料结果映射关系，维护并联事项“一表制”表单，监控并预警业务办理进度，对项目审批全流程的审批服务事项、审批环节、审批时限以及项目报建等实行网上监督、实时预警、绩效考核；对未按规定履行职责的，根据具体情形提请</w:t>
      </w:r>
      <w:r>
        <w:rPr>
          <w:rFonts w:hint="eastAsia" w:ascii="仿宋" w:hAnsi="仿宋" w:eastAsia="仿宋" w:cs="仿宋"/>
          <w:sz w:val="32"/>
          <w:szCs w:val="32"/>
          <w:lang w:eastAsia="zh-CN"/>
        </w:rPr>
        <w:t>区</w:t>
      </w:r>
      <w:r>
        <w:rPr>
          <w:rFonts w:hint="eastAsia" w:ascii="仿宋" w:hAnsi="仿宋" w:eastAsia="仿宋" w:cs="仿宋"/>
          <w:sz w:val="32"/>
          <w:szCs w:val="32"/>
        </w:rPr>
        <w:t>政府进行问责。制定信息系统运行维护细则、安全保障预案和安全防护策略，保障审批服务平台安全稳定运行。</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jc w:val="left"/>
        <w:textAlignment w:val="auto"/>
        <w:outlineLvl w:val="1"/>
        <w:rPr>
          <w:rFonts w:hint="eastAsia" w:ascii="楷体" w:hAnsi="楷体" w:eastAsia="楷体" w:cs="楷体"/>
          <w:kern w:val="0"/>
          <w:sz w:val="32"/>
          <w:szCs w:val="32"/>
          <w:lang w:bidi="ar"/>
        </w:rPr>
      </w:pPr>
      <w:bookmarkStart w:id="18" w:name="_Toc20630"/>
      <w:bookmarkStart w:id="19" w:name="_Toc19443"/>
      <w:bookmarkStart w:id="20" w:name="_Toc25347"/>
      <w:r>
        <w:rPr>
          <w:rFonts w:hint="eastAsia" w:ascii="楷体" w:hAnsi="楷体" w:eastAsia="楷体" w:cs="楷体"/>
          <w:kern w:val="0"/>
          <w:sz w:val="32"/>
          <w:szCs w:val="32"/>
          <w:lang w:bidi="ar"/>
        </w:rPr>
        <w:t>第六条 综合服务</w:t>
      </w:r>
      <w:bookmarkEnd w:id="18"/>
      <w:bookmarkEnd w:id="19"/>
      <w:bookmarkEnd w:id="20"/>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rPr>
        <w:t>根据工程建设项目业务需要，招收专门人员，引进高级人才，轮流抽调重点审批部门业务骨干，组建专兼职结合的审批服务团队，为投资者提供综合咨询、前期辅导、综合受理、全程网办和重大项目全程代办等全流程服务。</w:t>
      </w:r>
      <w:r>
        <w:rPr>
          <w:rFonts w:hint="eastAsia" w:ascii="仿宋" w:hAnsi="仿宋" w:eastAsia="仿宋" w:cs="仿宋"/>
          <w:color w:val="auto"/>
          <w:sz w:val="32"/>
          <w:szCs w:val="32"/>
        </w:rPr>
        <w:t>优化整合相关部门分散设立的服务窗口</w:t>
      </w:r>
      <w:r>
        <w:rPr>
          <w:rFonts w:hint="eastAsia" w:ascii="仿宋" w:hAnsi="仿宋" w:eastAsia="仿宋" w:cs="仿宋"/>
          <w:sz w:val="32"/>
          <w:szCs w:val="32"/>
        </w:rPr>
        <w:t>，设立统一的工程建设项目审批综合服务窗口。建立完善“前台受理、后台审核”机制，综合服务窗口统一收件、出件，实现“一个窗口”服务和管理</w:t>
      </w:r>
      <w:r>
        <w:rPr>
          <w:rFonts w:hint="eastAsia" w:ascii="仿宋" w:hAnsi="仿宋" w:eastAsia="仿宋" w:cs="仿宋"/>
          <w:sz w:val="32"/>
          <w:szCs w:val="32"/>
          <w:lang w:eastAsia="zh-CN"/>
        </w:rPr>
        <w:t>，</w:t>
      </w:r>
      <w:r>
        <w:rPr>
          <w:rFonts w:hint="eastAsia" w:ascii="仿宋" w:hAnsi="仿宋" w:eastAsia="仿宋" w:cs="仿宋"/>
          <w:color w:val="auto"/>
          <w:sz w:val="32"/>
          <w:szCs w:val="32"/>
          <w:lang w:eastAsia="zh-CN"/>
        </w:rPr>
        <w:t>同时实行“市政公用服务”代办服务，代办与工程建设</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right="0" w:rightChars="0"/>
        <w:textAlignment w:val="auto"/>
        <w:rPr>
          <w:rFonts w:hint="eastAsia" w:ascii="仿宋" w:hAnsi="仿宋" w:eastAsia="仿宋" w:cs="仿宋"/>
          <w:b w:val="0"/>
          <w:bCs w:val="0"/>
          <w:sz w:val="32"/>
          <w:szCs w:val="32"/>
        </w:rPr>
      </w:pPr>
      <w:r>
        <w:rPr>
          <w:rFonts w:hint="eastAsia" w:ascii="仿宋" w:hAnsi="仿宋" w:eastAsia="仿宋" w:cs="仿宋"/>
          <w:color w:val="auto"/>
          <w:sz w:val="32"/>
          <w:szCs w:val="32"/>
          <w:lang w:eastAsia="zh-CN"/>
        </w:rPr>
        <w:t>项目审批相关的供水、供电、燃气、广播电视等公用服务，为项目落地提供一站式服务。</w:t>
      </w:r>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center"/>
        <w:textAlignment w:val="auto"/>
        <w:outlineLvl w:val="0"/>
        <w:rPr>
          <w:rFonts w:hint="eastAsia" w:ascii="黑体" w:hAnsi="黑体" w:eastAsia="黑体" w:cs="黑体"/>
          <w:b w:val="0"/>
          <w:bCs w:val="0"/>
          <w:kern w:val="0"/>
          <w:sz w:val="32"/>
          <w:szCs w:val="32"/>
          <w:lang w:bidi="ar"/>
        </w:rPr>
      </w:pPr>
      <w:bookmarkStart w:id="21" w:name="_Toc27711"/>
      <w:bookmarkStart w:id="22" w:name="_Toc29811"/>
      <w:bookmarkStart w:id="23" w:name="_Toc24884"/>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center"/>
        <w:textAlignment w:val="auto"/>
        <w:outlineLvl w:val="0"/>
        <w:rPr>
          <w:rFonts w:hint="eastAsia" w:ascii="黑体" w:hAnsi="黑体" w:eastAsia="黑体" w:cs="黑体"/>
          <w:b w:val="0"/>
          <w:bCs w:val="0"/>
          <w:kern w:val="0"/>
          <w:sz w:val="32"/>
          <w:szCs w:val="32"/>
          <w:lang w:bidi="ar"/>
        </w:rPr>
      </w:pPr>
      <w:r>
        <w:rPr>
          <w:rFonts w:hint="eastAsia" w:ascii="黑体" w:hAnsi="黑体" w:eastAsia="黑体" w:cs="黑体"/>
          <w:b w:val="0"/>
          <w:bCs w:val="0"/>
          <w:kern w:val="0"/>
          <w:sz w:val="32"/>
          <w:szCs w:val="32"/>
          <w:lang w:bidi="ar"/>
        </w:rPr>
        <w:t>第二章 职责分工</w:t>
      </w:r>
      <w:bookmarkEnd w:id="21"/>
      <w:bookmarkEnd w:id="22"/>
      <w:bookmarkEnd w:id="23"/>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sz w:val="32"/>
          <w:szCs w:val="32"/>
        </w:rPr>
      </w:pPr>
      <w:bookmarkStart w:id="24" w:name="_Toc9"/>
      <w:bookmarkStart w:id="25" w:name="_Toc25582"/>
      <w:bookmarkStart w:id="26" w:name="_Toc19049"/>
      <w:r>
        <w:rPr>
          <w:rFonts w:hint="eastAsia" w:ascii="楷体" w:hAnsi="楷体" w:eastAsia="楷体" w:cs="楷体"/>
          <w:kern w:val="0"/>
          <w:sz w:val="32"/>
          <w:szCs w:val="32"/>
          <w:lang w:bidi="ar"/>
        </w:rPr>
        <w:t>第七条 职责分工</w:t>
      </w:r>
      <w:bookmarkEnd w:id="24"/>
      <w:bookmarkEnd w:id="25"/>
      <w:bookmarkEnd w:id="26"/>
      <w:r>
        <w:rPr>
          <w:rFonts w:hint="eastAsia" w:ascii="楷体" w:hAnsi="楷体" w:eastAsia="楷体" w:cs="楷体"/>
          <w:sz w:val="32"/>
          <w:szCs w:val="32"/>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区</w:t>
      </w:r>
      <w:r>
        <w:rPr>
          <w:rFonts w:hint="eastAsia" w:ascii="仿宋" w:hAnsi="仿宋" w:eastAsia="仿宋" w:cs="仿宋"/>
          <w:sz w:val="32"/>
          <w:szCs w:val="32"/>
        </w:rPr>
        <w:t>自然资源部门负责</w:t>
      </w:r>
      <w:r>
        <w:rPr>
          <w:rFonts w:hint="eastAsia" w:ascii="仿宋" w:hAnsi="仿宋" w:eastAsia="仿宋" w:cs="仿宋"/>
          <w:sz w:val="32"/>
          <w:szCs w:val="32"/>
          <w:lang w:eastAsia="zh-CN"/>
        </w:rPr>
        <w:t>配合市自然资源部门做好</w:t>
      </w:r>
      <w:r>
        <w:rPr>
          <w:rFonts w:hint="eastAsia" w:ascii="仿宋" w:hAnsi="仿宋" w:eastAsia="仿宋" w:cs="仿宋"/>
          <w:sz w:val="32"/>
          <w:szCs w:val="32"/>
        </w:rPr>
        <w:t>“多规合一”管理平台的开发应用，牵头推行区域评估，组织开展土地现状普查，构建项目策划生成机制，负责组织联合测绘，牵头负责立项用地规划和工程建设许可阶段的审批，会同各审批部门及时研究、解决改革推进过程中出现的新情况、新问题。</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园区主管部门具体实行区域评估，推进新建、扩建产业园区规划环评及规划环评结论清单式管理。</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住房城乡建设</w:t>
      </w:r>
      <w:r>
        <w:rPr>
          <w:rFonts w:hint="eastAsia" w:ascii="仿宋" w:hAnsi="仿宋" w:eastAsia="仿宋" w:cs="仿宋"/>
          <w:color w:val="auto"/>
          <w:sz w:val="32"/>
          <w:szCs w:val="32"/>
        </w:rPr>
        <w:t>部门</w:t>
      </w:r>
      <w:r>
        <w:rPr>
          <w:rFonts w:hint="eastAsia" w:ascii="仿宋" w:hAnsi="仿宋" w:eastAsia="仿宋" w:cs="仿宋"/>
          <w:sz w:val="32"/>
          <w:szCs w:val="32"/>
        </w:rPr>
        <w:t>负责改革总体统筹，跟踪、沟通、协调</w:t>
      </w:r>
      <w:r>
        <w:rPr>
          <w:rFonts w:hint="eastAsia" w:ascii="仿宋" w:hAnsi="仿宋" w:eastAsia="仿宋" w:cs="仿宋"/>
          <w:color w:val="auto"/>
          <w:sz w:val="32"/>
          <w:szCs w:val="32"/>
        </w:rPr>
        <w:t>各部门和各小组</w:t>
      </w:r>
      <w:r>
        <w:rPr>
          <w:rFonts w:hint="eastAsia" w:ascii="仿宋" w:hAnsi="仿宋" w:eastAsia="仿宋" w:cs="仿宋"/>
          <w:sz w:val="32"/>
          <w:szCs w:val="32"/>
        </w:rPr>
        <w:t>有关工作，分析研究和协调解决改革中存在的重大问题，负责推行多图联审、技术评审社会化，牵头负责施工许可和竣工验收阶段的审批，会同各审批部门及时研究、解决改革推进过程中出现的新情况、新问题；负责对建设工程竣工联合验收工作的统一组织、协调和监管。</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黑体" w:hAnsi="黑体" w:eastAsia="黑体" w:cs="黑体"/>
          <w:kern w:val="0"/>
          <w:sz w:val="32"/>
          <w:szCs w:val="32"/>
          <w:lang w:bidi="ar"/>
        </w:rPr>
      </w:pPr>
      <w:r>
        <w:rPr>
          <w:rFonts w:hint="eastAsia" w:ascii="仿宋" w:hAnsi="仿宋" w:eastAsia="仿宋" w:cs="仿宋"/>
          <w:sz w:val="32"/>
          <w:szCs w:val="32"/>
          <w:lang w:eastAsia="zh-CN"/>
        </w:rPr>
        <w:t>区</w:t>
      </w:r>
      <w:r>
        <w:rPr>
          <w:rFonts w:hint="eastAsia" w:ascii="仿宋" w:hAnsi="仿宋" w:eastAsia="仿宋" w:cs="仿宋"/>
          <w:sz w:val="32"/>
          <w:szCs w:val="32"/>
        </w:rPr>
        <w:t>政务服务数据管理</w:t>
      </w:r>
      <w:r>
        <w:rPr>
          <w:rFonts w:hint="eastAsia" w:ascii="仿宋" w:hAnsi="仿宋" w:eastAsia="仿宋" w:cs="仿宋"/>
          <w:color w:val="auto"/>
          <w:sz w:val="32"/>
          <w:szCs w:val="32"/>
        </w:rPr>
        <w:t>部门</w:t>
      </w:r>
      <w:r>
        <w:rPr>
          <w:rFonts w:hint="eastAsia" w:ascii="仿宋" w:hAnsi="仿宋" w:eastAsia="仿宋" w:cs="仿宋"/>
          <w:sz w:val="32"/>
          <w:szCs w:val="32"/>
        </w:rPr>
        <w:t>负责推进“一个窗口”、“一支队伍”、“一套机制”和代办制度的建设，负责</w:t>
      </w:r>
      <w:r>
        <w:rPr>
          <w:rFonts w:hint="eastAsia" w:ascii="仿宋" w:hAnsi="仿宋" w:eastAsia="仿宋" w:cs="仿宋"/>
          <w:sz w:val="32"/>
          <w:szCs w:val="32"/>
          <w:lang w:eastAsia="zh-CN"/>
        </w:rPr>
        <w:t>配合市政数局做好</w:t>
      </w:r>
      <w:r>
        <w:rPr>
          <w:rFonts w:hint="eastAsia" w:ascii="仿宋" w:hAnsi="仿宋" w:eastAsia="仿宋" w:cs="仿宋"/>
          <w:sz w:val="32"/>
          <w:szCs w:val="32"/>
        </w:rPr>
        <w:t>工程建设项目审批服务平台建设，以及</w:t>
      </w:r>
      <w:r>
        <w:rPr>
          <w:rFonts w:hint="eastAsia" w:ascii="仿宋" w:hAnsi="仿宋" w:eastAsia="仿宋" w:cs="仿宋"/>
          <w:sz w:val="32"/>
          <w:szCs w:val="32"/>
          <w:lang w:eastAsia="zh-CN"/>
        </w:rPr>
        <w:t>配合完成</w:t>
      </w:r>
      <w:r>
        <w:rPr>
          <w:rFonts w:hint="eastAsia" w:ascii="仿宋" w:hAnsi="仿宋" w:eastAsia="仿宋" w:cs="仿宋"/>
          <w:sz w:val="32"/>
          <w:szCs w:val="32"/>
        </w:rPr>
        <w:t>与“多规合一”管理平台、在线电子审图系统、各部门审批系统、网上中介服务超市等的对接工作。</w:t>
      </w:r>
      <w:bookmarkStart w:id="27" w:name="_Toc27779"/>
      <w:bookmarkStart w:id="28" w:name="_Toc24509"/>
      <w:bookmarkStart w:id="29" w:name="_Toc24108"/>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center"/>
        <w:textAlignment w:val="auto"/>
        <w:outlineLvl w:val="0"/>
        <w:rPr>
          <w:rFonts w:hint="eastAsia" w:ascii="黑体" w:hAnsi="黑体" w:eastAsia="黑体" w:cs="黑体"/>
          <w:kern w:val="0"/>
          <w:sz w:val="32"/>
          <w:szCs w:val="32"/>
          <w:lang w:bidi="ar"/>
        </w:rPr>
      </w:pPr>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center"/>
        <w:textAlignment w:val="auto"/>
        <w:outlineLvl w:val="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第三章 项目策划生成</w:t>
      </w:r>
      <w:bookmarkEnd w:id="27"/>
      <w:bookmarkEnd w:id="28"/>
      <w:bookmarkEnd w:id="29"/>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30" w:name="_Toc4877"/>
      <w:bookmarkStart w:id="31" w:name="_Toc19603"/>
      <w:bookmarkStart w:id="32" w:name="_Toc15885"/>
      <w:r>
        <w:rPr>
          <w:rFonts w:hint="eastAsia" w:ascii="楷体" w:hAnsi="楷体" w:eastAsia="楷体" w:cs="楷体"/>
          <w:kern w:val="0"/>
          <w:sz w:val="32"/>
          <w:szCs w:val="32"/>
          <w:lang w:bidi="ar"/>
        </w:rPr>
        <w:t>第八条 总体要求</w:t>
      </w:r>
      <w:bookmarkEnd w:id="30"/>
      <w:bookmarkEnd w:id="31"/>
      <w:bookmarkEnd w:id="32"/>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按照优化阳江市</w:t>
      </w:r>
      <w:r>
        <w:rPr>
          <w:rFonts w:hint="eastAsia" w:ascii="仿宋" w:hAnsi="仿宋" w:eastAsia="仿宋" w:cs="仿宋"/>
          <w:sz w:val="32"/>
          <w:szCs w:val="32"/>
          <w:lang w:eastAsia="zh-CN"/>
        </w:rPr>
        <w:t>江城区</w:t>
      </w:r>
      <w:r>
        <w:rPr>
          <w:rFonts w:hint="eastAsia" w:ascii="仿宋" w:hAnsi="仿宋" w:eastAsia="仿宋" w:cs="仿宋"/>
          <w:sz w:val="32"/>
          <w:szCs w:val="32"/>
        </w:rPr>
        <w:t>营商环境，构建高质量发展的机制体制的目标要求，通过建立项目策划生成机制，实现以“一张蓝图”引领和统筹项目建设、推动部门协同管理、高效配置城市空间资源。对于社会投资类项目，重点加强政府在土地储备或出让前的用地保障和统筹协调。</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33" w:name="_Toc29468"/>
      <w:bookmarkStart w:id="34" w:name="_Toc21718"/>
      <w:bookmarkStart w:id="35" w:name="_Toc598"/>
      <w:r>
        <w:rPr>
          <w:rFonts w:hint="eastAsia" w:ascii="楷体" w:hAnsi="楷体" w:eastAsia="楷体" w:cs="楷体"/>
          <w:kern w:val="0"/>
          <w:sz w:val="32"/>
          <w:szCs w:val="32"/>
          <w:lang w:bidi="ar"/>
        </w:rPr>
        <w:t>第九条 “一张蓝图”和多规平台</w:t>
      </w:r>
      <w:bookmarkEnd w:id="33"/>
      <w:bookmarkEnd w:id="34"/>
      <w:bookmarkEnd w:id="35"/>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“一张蓝图”和多规平台是项目策划生成的重要体系保障和技术支撑。由</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自然资源部门牵头，会同</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发展改革、生态环境部门等各行业主管部门</w:t>
      </w:r>
      <w:r>
        <w:rPr>
          <w:rFonts w:hint="eastAsia" w:ascii="仿宋" w:hAnsi="仿宋" w:eastAsia="仿宋" w:cs="仿宋"/>
          <w:sz w:val="32"/>
          <w:szCs w:val="32"/>
        </w:rPr>
        <w:t>开展“一张蓝图”的体系、标准、空间数据和多规平台的建设工作。</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快推进“多规合一”工作，从法律法规源头出发，系统梳理各部门的空间事权、各部门的空间管控要素和范围，有效衔接并整合城乡规划、土地利用规划及各部门各行业空间性专项规划，确保各部门空间管控信息互通共享，避免出现新的空间矛盾，逐步解决已有的空间冲突，建立覆盖全</w:t>
      </w:r>
      <w:r>
        <w:rPr>
          <w:rFonts w:hint="eastAsia" w:ascii="仿宋" w:hAnsi="仿宋" w:eastAsia="仿宋" w:cs="仿宋"/>
          <w:sz w:val="32"/>
          <w:szCs w:val="32"/>
          <w:lang w:eastAsia="zh-CN"/>
        </w:rPr>
        <w:t>区</w:t>
      </w:r>
      <w:r>
        <w:rPr>
          <w:rFonts w:hint="eastAsia" w:ascii="仿宋" w:hAnsi="仿宋" w:eastAsia="仿宋" w:cs="仿宋"/>
          <w:sz w:val="32"/>
          <w:szCs w:val="32"/>
        </w:rPr>
        <w:t>的“一张蓝图”体系。以“一张蓝图”为基础，统筹协调各部门提出项目建设条件，并将“一张蓝图”作为项目策划生成过程中开展空间合规性审查的法定依据，所有的工程建设项目都必须依据“一张蓝图”实施。</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多规平台包括“多规合一”业务协同平台和“多规合一”空间信息管理平台，“一张蓝图”的空间数据应纳入“多规合一”空间信息管理平台并实施动态维护和管理。“多规合</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一”业务协同平台是各部门开展项目策划生成并进行业务协同工作的信息化基础。“多规合一”空间信息管理平台为业务协同平台提供“一张蓝图”的空间数据。</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bCs/>
          <w:kern w:val="0"/>
          <w:sz w:val="32"/>
          <w:szCs w:val="32"/>
          <w:lang w:bidi="ar"/>
        </w:rPr>
      </w:pPr>
      <w:bookmarkStart w:id="36" w:name="_Toc18049"/>
      <w:bookmarkStart w:id="37" w:name="_Toc19427"/>
      <w:bookmarkStart w:id="38" w:name="_Toc10569"/>
      <w:r>
        <w:rPr>
          <w:rFonts w:hint="eastAsia" w:ascii="楷体" w:hAnsi="楷体" w:eastAsia="楷体" w:cs="楷体"/>
          <w:bCs/>
          <w:kern w:val="0"/>
          <w:sz w:val="32"/>
          <w:szCs w:val="32"/>
          <w:lang w:bidi="ar"/>
        </w:rPr>
        <w:t>第十条 项目储备</w:t>
      </w:r>
      <w:bookmarkEnd w:id="36"/>
      <w:bookmarkEnd w:id="37"/>
      <w:bookmarkEnd w:id="38"/>
      <w:r>
        <w:rPr>
          <w:rFonts w:hint="eastAsia" w:ascii="楷体" w:hAnsi="楷体" w:eastAsia="楷体" w:cs="楷体"/>
          <w:bCs/>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社会投资类项目储备阶段是对项目及用地进行建表建库和联合审查。将各部门提供的储备用地及招商的工业项目进行建表建库，并对工业项目展开投资政策、环保政策的审查，对用地展开合规性审查。由自然</w:t>
      </w:r>
      <w:r>
        <w:rPr>
          <w:rFonts w:hint="eastAsia" w:ascii="仿宋" w:hAnsi="仿宋" w:eastAsia="仿宋" w:cs="仿宋"/>
          <w:color w:val="auto"/>
          <w:sz w:val="32"/>
          <w:szCs w:val="32"/>
        </w:rPr>
        <w:t>资源部门牵头建设维护项目储备库，收集土地出让计划，制定入库和出库条件，统一用地编码，加强统筹协调，落实前期研究经费。对</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政府确定的重大项目，优先安排调入项目储备库。工业项目由</w:t>
      </w:r>
      <w:r>
        <w:rPr>
          <w:rFonts w:hint="eastAsia" w:ascii="仿宋" w:hAnsi="仿宋" w:eastAsia="仿宋" w:cs="仿宋"/>
          <w:color w:val="auto"/>
          <w:sz w:val="32"/>
          <w:szCs w:val="32"/>
          <w:lang w:eastAsia="zh-CN"/>
        </w:rPr>
        <w:t>商务</w:t>
      </w:r>
      <w:r>
        <w:rPr>
          <w:rFonts w:hint="eastAsia" w:ascii="仿宋" w:hAnsi="仿宋" w:eastAsia="仿宋" w:cs="仿宋"/>
          <w:color w:val="auto"/>
          <w:sz w:val="32"/>
          <w:szCs w:val="32"/>
        </w:rPr>
        <w:t>部门会同企业确定建设边界条件和建设规模。纳入项目储备库的项目由自然资源部门发起多部门联合审查。用地由自然资源部门依托多规平台进行合规性审查；如为工业项目由发展改革部门进行产业政策审查；生态环境部门进行环保政策审查；工信部门进行投资政策审查；如用地涉及存量用地，由自然资源部门审查；各有关主管部门根据部门职能进行审查。审查完成后由自然资源部门</w:t>
      </w:r>
      <w:r>
        <w:rPr>
          <w:rFonts w:hint="eastAsia" w:ascii="仿宋" w:hAnsi="仿宋" w:eastAsia="仿宋" w:cs="仿宋"/>
          <w:sz w:val="32"/>
          <w:szCs w:val="32"/>
        </w:rPr>
        <w:t>汇总审查意见，并对项目进行预审，通过预审的纳入年度土地出让用地计划草案，项目储备阶段结束。</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楷体" w:hAnsi="楷体" w:eastAsia="楷体" w:cs="楷体"/>
          <w:bCs/>
          <w:color w:val="auto"/>
          <w:kern w:val="0"/>
          <w:sz w:val="32"/>
          <w:szCs w:val="32"/>
          <w:lang w:bidi="ar"/>
        </w:rPr>
      </w:pPr>
      <w:r>
        <w:rPr>
          <w:rFonts w:hint="eastAsia" w:ascii="仿宋" w:hAnsi="仿宋" w:eastAsia="仿宋" w:cs="仿宋"/>
          <w:sz w:val="32"/>
          <w:szCs w:val="32"/>
        </w:rPr>
        <w:t>项目储备阶段由</w:t>
      </w:r>
      <w:r>
        <w:rPr>
          <w:rFonts w:hint="eastAsia" w:ascii="仿宋" w:hAnsi="仿宋" w:eastAsia="仿宋" w:cs="仿宋"/>
          <w:sz w:val="32"/>
          <w:szCs w:val="32"/>
          <w:lang w:eastAsia="zh-CN"/>
        </w:rPr>
        <w:t>区</w:t>
      </w:r>
      <w:r>
        <w:rPr>
          <w:rFonts w:hint="eastAsia" w:ascii="仿宋" w:hAnsi="仿宋" w:eastAsia="仿宋" w:cs="仿宋"/>
          <w:sz w:val="32"/>
          <w:szCs w:val="32"/>
        </w:rPr>
        <w:t>自然资</w:t>
      </w:r>
      <w:r>
        <w:rPr>
          <w:rFonts w:hint="eastAsia" w:ascii="仿宋" w:hAnsi="仿宋" w:eastAsia="仿宋" w:cs="仿宋"/>
          <w:color w:val="auto"/>
          <w:sz w:val="32"/>
          <w:szCs w:val="32"/>
        </w:rPr>
        <w:t>源部门牵头，会同土储中心、</w:t>
      </w:r>
      <w:r>
        <w:rPr>
          <w:rFonts w:hint="eastAsia" w:ascii="仿宋" w:hAnsi="仿宋" w:eastAsia="仿宋" w:cs="仿宋"/>
          <w:color w:val="auto"/>
          <w:sz w:val="32"/>
          <w:szCs w:val="32"/>
          <w:lang w:eastAsia="zh-CN"/>
        </w:rPr>
        <w:t>商务</w:t>
      </w:r>
      <w:r>
        <w:rPr>
          <w:rFonts w:hint="eastAsia" w:ascii="仿宋" w:hAnsi="仿宋" w:eastAsia="仿宋" w:cs="仿宋"/>
          <w:color w:val="auto"/>
          <w:sz w:val="32"/>
          <w:szCs w:val="32"/>
        </w:rPr>
        <w:t>部门以及发展改革、生态环境等审查部门负责项目储备库的建设和维护管理，以及相关审查标准、机制的建设工作。</w:t>
      </w:r>
      <w:bookmarkStart w:id="39" w:name="_Toc10411"/>
      <w:bookmarkStart w:id="40" w:name="_Toc11745"/>
      <w:bookmarkStart w:id="41" w:name="_Toc19555"/>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bCs/>
          <w:color w:val="auto"/>
          <w:kern w:val="0"/>
          <w:sz w:val="32"/>
          <w:szCs w:val="32"/>
          <w:lang w:bidi="ar"/>
        </w:rPr>
      </w:pPr>
      <w:r>
        <w:rPr>
          <w:rFonts w:hint="eastAsia" w:ascii="楷体" w:hAnsi="楷体" w:eastAsia="楷体" w:cs="楷体"/>
          <w:bCs/>
          <w:color w:val="auto"/>
          <w:kern w:val="0"/>
          <w:sz w:val="32"/>
          <w:szCs w:val="32"/>
          <w:lang w:bidi="ar"/>
        </w:rPr>
        <w:t>第十一条 年度实施</w:t>
      </w:r>
      <w:bookmarkEnd w:id="39"/>
      <w:bookmarkEnd w:id="40"/>
      <w:bookmarkEnd w:id="41"/>
      <w:r>
        <w:rPr>
          <w:rFonts w:hint="eastAsia" w:ascii="楷体" w:hAnsi="楷体" w:eastAsia="楷体" w:cs="楷体"/>
          <w:bCs/>
          <w:color w:val="auto"/>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年度实施阶段是对项目多规协调。由自然资源部门从项目储备库中启动项目进入年度实施阶段生成，牵头进行实施协调，协调内容包含：如为工业项目由发展改革部门进行产业政策审查；生态环境部门进行环保政策审查；工信部门进行投资政策</w:t>
      </w:r>
      <w:r>
        <w:rPr>
          <w:rFonts w:hint="eastAsia" w:ascii="仿宋" w:hAnsi="仿宋" w:eastAsia="仿宋" w:cs="仿宋"/>
          <w:sz w:val="32"/>
          <w:szCs w:val="32"/>
        </w:rPr>
        <w:t>审查；由各相关部门提出相关规划政策，审查完成后由自然资源</w:t>
      </w:r>
      <w:r>
        <w:rPr>
          <w:rFonts w:hint="eastAsia" w:ascii="仿宋" w:hAnsi="仿宋" w:eastAsia="仿宋" w:cs="仿宋"/>
          <w:color w:val="auto"/>
          <w:sz w:val="32"/>
          <w:szCs w:val="32"/>
        </w:rPr>
        <w:t>部门</w:t>
      </w:r>
      <w:r>
        <w:rPr>
          <w:rFonts w:hint="eastAsia" w:ascii="仿宋" w:hAnsi="仿宋" w:eastAsia="仿宋" w:cs="仿宋"/>
          <w:sz w:val="32"/>
          <w:szCs w:val="32"/>
        </w:rPr>
        <w:t>汇总意见。完成多规协调的用地由自然资源部门提请政府决策。对通过决策的项目，由自然资源</w:t>
      </w:r>
      <w:r>
        <w:rPr>
          <w:rFonts w:hint="eastAsia" w:ascii="仿宋" w:hAnsi="仿宋" w:eastAsia="仿宋" w:cs="仿宋"/>
          <w:color w:val="auto"/>
          <w:sz w:val="32"/>
          <w:szCs w:val="32"/>
        </w:rPr>
        <w:t>部门</w:t>
      </w:r>
      <w:r>
        <w:rPr>
          <w:rFonts w:hint="eastAsia" w:ascii="仿宋" w:hAnsi="仿宋" w:eastAsia="仿宋" w:cs="仿宋"/>
          <w:sz w:val="32"/>
          <w:szCs w:val="32"/>
        </w:rPr>
        <w:t>纳入年度实施库及年度土地出让用地计划，完成项目策划生成。</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年度实施阶段由</w:t>
      </w:r>
      <w:r>
        <w:rPr>
          <w:rFonts w:hint="eastAsia" w:ascii="仿宋" w:hAnsi="仿宋" w:eastAsia="仿宋" w:cs="仿宋"/>
          <w:sz w:val="32"/>
          <w:szCs w:val="32"/>
          <w:lang w:eastAsia="zh-CN"/>
        </w:rPr>
        <w:t>区</w:t>
      </w:r>
      <w:r>
        <w:rPr>
          <w:rFonts w:hint="eastAsia" w:ascii="仿宋" w:hAnsi="仿宋" w:eastAsia="仿宋" w:cs="仿宋"/>
          <w:sz w:val="32"/>
          <w:szCs w:val="32"/>
        </w:rPr>
        <w:t>自然资源</w:t>
      </w:r>
      <w:r>
        <w:rPr>
          <w:rFonts w:hint="eastAsia" w:ascii="仿宋" w:hAnsi="仿宋" w:eastAsia="仿宋" w:cs="仿宋"/>
          <w:color w:val="auto"/>
          <w:sz w:val="32"/>
          <w:szCs w:val="32"/>
        </w:rPr>
        <w:t>部门</w:t>
      </w:r>
      <w:r>
        <w:rPr>
          <w:rFonts w:hint="eastAsia" w:ascii="仿宋" w:hAnsi="仿宋" w:eastAsia="仿宋" w:cs="仿宋"/>
          <w:sz w:val="32"/>
          <w:szCs w:val="32"/>
        </w:rPr>
        <w:t>牵头，负责年度实施库的建设和维护管理，以及相关协调机制和标准的建设。</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42" w:name="_Toc30756"/>
      <w:bookmarkStart w:id="43" w:name="_Toc26443"/>
      <w:bookmarkStart w:id="44" w:name="_Toc14392"/>
      <w:r>
        <w:rPr>
          <w:rFonts w:hint="eastAsia" w:ascii="楷体" w:hAnsi="楷体" w:eastAsia="楷体" w:cs="楷体"/>
          <w:kern w:val="0"/>
          <w:sz w:val="32"/>
          <w:szCs w:val="32"/>
          <w:lang w:bidi="ar"/>
        </w:rPr>
        <w:t>第十二条 服务协同</w:t>
      </w:r>
      <w:bookmarkEnd w:id="42"/>
      <w:bookmarkEnd w:id="43"/>
      <w:bookmarkEnd w:id="44"/>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服务协同阶段是根据项目类型和实际情况，依托“多规合一”业务协同平台提前开展多部门的技术协同服务，为项目审批提速做好铺垫和准备。社会投资类项目可视条件开展条件协同、多评协同、方案协同等服务。社会投资类工业项目、带方案出让用地项目建议可启动条件协同服务、方案协同服务、视条件成熟情况启动多评合一服务。社会投资小型项目及其他项目建议可启动条件协同服务、视条件成熟情况启动多评合一服务。</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 w:val="0"/>
          <w:bCs w:val="0"/>
          <w:sz w:val="32"/>
          <w:szCs w:val="32"/>
          <w:lang w:val="zh-CN"/>
        </w:rPr>
        <w:t>条件协同服务</w:t>
      </w:r>
      <w:r>
        <w:rPr>
          <w:rFonts w:hint="eastAsia" w:ascii="仿宋" w:hAnsi="仿宋" w:eastAsia="仿宋" w:cs="仿宋"/>
          <w:sz w:val="32"/>
          <w:szCs w:val="32"/>
        </w:rPr>
        <w:t>是在土地供应前将各部门对项目建设条件和管理标准进行汇总整合，实现用地清单式管理。由自然资源</w:t>
      </w:r>
      <w:r>
        <w:rPr>
          <w:rFonts w:hint="eastAsia" w:ascii="仿宋" w:hAnsi="仿宋" w:eastAsia="仿宋" w:cs="仿宋"/>
          <w:color w:val="auto"/>
          <w:sz w:val="32"/>
          <w:szCs w:val="32"/>
        </w:rPr>
        <w:t>部门通过“多规合一”业务协同平台统一牵头收集评估</w:t>
      </w:r>
    </w:p>
    <w:p>
      <w:pPr>
        <w:keepNext w:val="0"/>
        <w:keepLines w:val="0"/>
        <w:pageBreakBefore w:val="0"/>
        <w:kinsoku/>
        <w:wordWrap/>
        <w:overflowPunct/>
        <w:topLinePunct w:val="0"/>
        <w:autoSpaceDE/>
        <w:bidi w:val="0"/>
        <w:adjustRightInd/>
        <w:snapToGrid/>
        <w:spacing w:before="0" w:beforeLines="0" w:after="0" w:afterLines="0" w:line="560" w:lineRule="exact"/>
        <w:ind w:right="0" w:rightChars="0"/>
        <w:textAlignment w:val="auto"/>
        <w:rPr>
          <w:rFonts w:hint="eastAsia" w:ascii="仿宋" w:hAnsi="仿宋" w:eastAsia="仿宋" w:cs="仿宋"/>
          <w:sz w:val="32"/>
          <w:szCs w:val="32"/>
        </w:rPr>
      </w:pPr>
      <w:r>
        <w:rPr>
          <w:rFonts w:hint="eastAsia" w:ascii="仿宋" w:hAnsi="仿宋" w:eastAsia="仿宋" w:cs="仿宋"/>
          <w:color w:val="auto"/>
          <w:sz w:val="32"/>
          <w:szCs w:val="32"/>
        </w:rPr>
        <w:t>评价和现状普查的资料，各行业主管部门、公共服务企业应当结合出让土地的普查情况，以及报建或验收环节必须遵循的管理标准，提出“清单式”管理要求，由发展改革、</w:t>
      </w:r>
      <w:r>
        <w:rPr>
          <w:rFonts w:hint="eastAsia" w:ascii="仿宋" w:hAnsi="仿宋" w:eastAsia="仿宋" w:cs="仿宋"/>
          <w:color w:val="auto"/>
          <w:sz w:val="32"/>
          <w:szCs w:val="32"/>
          <w:lang w:eastAsia="zh-CN"/>
        </w:rPr>
        <w:t>商务</w:t>
      </w:r>
      <w:r>
        <w:rPr>
          <w:rFonts w:hint="eastAsia" w:ascii="仿宋" w:hAnsi="仿宋" w:eastAsia="仿宋" w:cs="仿宋"/>
          <w:color w:val="auto"/>
          <w:sz w:val="32"/>
          <w:szCs w:val="32"/>
        </w:rPr>
        <w:t>、自然资源、环境保护等部门结合以上资料共同制定“土地资源和技术控制指标清单”，汇总技术控制指标和要求。自然资源部门在组织土</w:t>
      </w:r>
      <w:r>
        <w:rPr>
          <w:rFonts w:hint="eastAsia" w:ascii="仿宋" w:hAnsi="仿宋" w:eastAsia="仿宋" w:cs="仿宋"/>
          <w:sz w:val="32"/>
          <w:szCs w:val="32"/>
        </w:rPr>
        <w:t>地出让时，将“土地资源和技术控制指标清单”在土地出让合同中予以明确一并交付项目建设单位，并作为项目后续行政管理、技术审查的主要依据。</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val="zh-CN"/>
        </w:rPr>
        <w:t>多评协同服务是</w:t>
      </w:r>
      <w:r>
        <w:rPr>
          <w:rFonts w:hint="eastAsia" w:ascii="仿宋" w:hAnsi="仿宋" w:eastAsia="仿宋" w:cs="仿宋"/>
          <w:sz w:val="32"/>
          <w:szCs w:val="32"/>
        </w:rPr>
        <w:t>指依托“多规合一”业务协同平台对建设项目的地震安全性评价、地质灾害危险性评估、环境影响评价、水土保持方案审批、洪水影响方案审批、节能审查、文物考古调查、交通影响评价、压覆矿产评估等事项实行联合评估促进项目审批提速增效。</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105" w:leftChars="-5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于经济技术开发区、高新技术开发区、产业园区（或集聚区）等功能片区，由园区管委会组织逐步推进区域评估，其他区域由区政府结合试点经验统一组织按计划逐步开展区域评估工作。各行业主管部门应制订计划并按计划对城乡建设用地范围内的文物单位、历史建筑保护、古树名木、危化品安全、地下管线（包括供水、供电、供气、通讯线路及雨水、污水分流管道等）等开展现状普查。实行区域评估的片区，不再对项目单独进行相关评价评估。明确项目准入标准和要求并纳入用地建设条件，各专项评估数据免费向建设单位提供，实现区域内建设项目共享评估成果。区域评估范围内满足相关评估要求的工程建设项目，建设单位对相应的审批事项可实行告知承诺制，审批部门可以直接作出审批决定。</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未实施区域评估的地区，由</w:t>
      </w:r>
      <w:r>
        <w:rPr>
          <w:rFonts w:hint="eastAsia" w:ascii="仿宋" w:hAnsi="仿宋" w:eastAsia="仿宋" w:cs="仿宋"/>
          <w:sz w:val="32"/>
          <w:szCs w:val="32"/>
          <w:lang w:eastAsia="zh-CN"/>
        </w:rPr>
        <w:t>各</w:t>
      </w:r>
      <w:r>
        <w:rPr>
          <w:rFonts w:hint="eastAsia" w:ascii="仿宋" w:hAnsi="仿宋" w:eastAsia="仿宋" w:cs="仿宋"/>
          <w:sz w:val="32"/>
          <w:szCs w:val="32"/>
        </w:rPr>
        <w:t>工业园区管委会统筹有关部门对各类评价评估事项进行联合审批。相关部门针对业主单位编制的建设方案，依职能一次性提出环保、地质灾害、安全等各类评估要求，并开展相关评估报告编制及审批；最后由自然资源</w:t>
      </w:r>
      <w:r>
        <w:rPr>
          <w:rFonts w:hint="eastAsia" w:ascii="仿宋" w:hAnsi="仿宋" w:eastAsia="仿宋" w:cs="仿宋"/>
          <w:color w:val="auto"/>
          <w:sz w:val="32"/>
          <w:szCs w:val="32"/>
        </w:rPr>
        <w:t>部门</w:t>
      </w:r>
      <w:r>
        <w:rPr>
          <w:rFonts w:hint="eastAsia" w:ascii="仿宋" w:hAnsi="仿宋" w:eastAsia="仿宋" w:cs="仿宋"/>
          <w:sz w:val="32"/>
          <w:szCs w:val="32"/>
        </w:rPr>
        <w:t>汇总多评合一成果。</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val="zh-CN"/>
        </w:rPr>
        <w:t>方案协同</w:t>
      </w:r>
      <w:r>
        <w:rPr>
          <w:rFonts w:hint="eastAsia" w:ascii="仿宋" w:hAnsi="仿宋" w:eastAsia="仿宋" w:cs="仿宋"/>
          <w:b w:val="0"/>
          <w:bCs w:val="0"/>
          <w:sz w:val="32"/>
          <w:szCs w:val="32"/>
        </w:rPr>
        <w:t>服务</w:t>
      </w:r>
      <w:r>
        <w:rPr>
          <w:rFonts w:hint="eastAsia" w:ascii="仿宋" w:hAnsi="仿宋" w:eastAsia="仿宋" w:cs="仿宋"/>
          <w:sz w:val="32"/>
          <w:szCs w:val="32"/>
        </w:rPr>
        <w:t>针对带方案出让用地项目，自然资源部门在土地出让前，通过“多规合一”业务协同平台实现建设方案比选、联合评审、方案决策。自然资源部门负责统筹带方案出让用地项目的前期研究、方案编制、方案比选和联审决策工作，通过“多规合一”业务协同平台选择相关部门参加建设方案的联审决策工作，相关部门按职能对建设方案提出意见。方案稳定后纳入土地出让条件中。</w:t>
      </w:r>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firstLine="640" w:firstLineChars="200"/>
        <w:jc w:val="center"/>
        <w:textAlignment w:val="auto"/>
        <w:outlineLvl w:val="0"/>
        <w:rPr>
          <w:rFonts w:hint="eastAsia" w:ascii="黑体" w:hAnsi="黑体" w:eastAsia="黑体" w:cs="黑体"/>
          <w:kern w:val="0"/>
          <w:sz w:val="32"/>
          <w:szCs w:val="32"/>
          <w:lang w:bidi="ar"/>
        </w:rPr>
      </w:pPr>
      <w:bookmarkStart w:id="45" w:name="_Toc15962"/>
      <w:bookmarkStart w:id="46" w:name="_Toc17382"/>
      <w:bookmarkStart w:id="47" w:name="_Toc24918"/>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firstLine="640" w:firstLineChars="200"/>
        <w:jc w:val="center"/>
        <w:textAlignment w:val="auto"/>
        <w:outlineLvl w:val="0"/>
        <w:rPr>
          <w:rFonts w:hint="eastAsia" w:ascii="黑体" w:hAnsi="黑体" w:eastAsia="黑体" w:cs="黑体"/>
          <w:sz w:val="32"/>
          <w:szCs w:val="32"/>
        </w:rPr>
      </w:pPr>
      <w:r>
        <w:rPr>
          <w:rFonts w:hint="eastAsia" w:ascii="黑体" w:hAnsi="黑体" w:eastAsia="黑体" w:cs="黑体"/>
          <w:kern w:val="0"/>
          <w:sz w:val="32"/>
          <w:szCs w:val="32"/>
          <w:lang w:bidi="ar"/>
        </w:rPr>
        <w:t>第四章 审批流程再造</w:t>
      </w:r>
      <w:bookmarkEnd w:id="45"/>
      <w:bookmarkEnd w:id="46"/>
      <w:bookmarkEnd w:id="47"/>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48" w:name="_Toc16988"/>
      <w:bookmarkStart w:id="49" w:name="_Toc31095"/>
      <w:bookmarkStart w:id="50" w:name="_Toc2300"/>
      <w:r>
        <w:rPr>
          <w:rFonts w:hint="eastAsia" w:ascii="楷体" w:hAnsi="楷体" w:eastAsia="楷体" w:cs="楷体"/>
          <w:kern w:val="0"/>
          <w:sz w:val="32"/>
          <w:szCs w:val="32"/>
          <w:lang w:bidi="ar"/>
        </w:rPr>
        <w:t>第十三条 精简事项</w:t>
      </w:r>
      <w:bookmarkEnd w:id="48"/>
      <w:bookmarkEnd w:id="49"/>
      <w:bookmarkEnd w:id="50"/>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严禁在公布的事项目录之外擅自增加事项、前置条件和报审材料，严禁擅自延长办事时限。取消、合并不必要的审批事项，可以通过部门间信息共享的事项，转为政府内部事项，不再依申请办理。</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楷体" w:hAnsi="楷体" w:eastAsia="楷体" w:cs="楷体"/>
          <w:kern w:val="0"/>
          <w:sz w:val="32"/>
          <w:szCs w:val="32"/>
          <w:lang w:bidi="ar"/>
        </w:rPr>
      </w:pPr>
      <w:r>
        <w:rPr>
          <w:rFonts w:hint="eastAsia" w:ascii="仿宋" w:hAnsi="仿宋" w:eastAsia="仿宋" w:cs="仿宋"/>
          <w:sz w:val="32"/>
          <w:szCs w:val="32"/>
        </w:rPr>
        <w:t>在工程建设许可阶段，自然资源部门仅对“土地资源和技术控制指标清单”中的绿地范围、面积、绿地率等规划管控指标进行指标复核,不再对建设项目的附属绿化工程规划设计方案进行审查；在施工许可阶段，取消建筑节能设计审查备案、施工合同备案、物业管理招标前备案等3个事项。</w:t>
      </w:r>
      <w:bookmarkStart w:id="51" w:name="_Toc7961"/>
      <w:bookmarkStart w:id="52" w:name="_Toc26804"/>
      <w:bookmarkStart w:id="53" w:name="_Toc16471"/>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r>
        <w:rPr>
          <w:rFonts w:hint="eastAsia" w:ascii="楷体" w:hAnsi="楷体" w:eastAsia="楷体" w:cs="楷体"/>
          <w:kern w:val="0"/>
          <w:sz w:val="32"/>
          <w:szCs w:val="32"/>
          <w:lang w:bidi="ar"/>
        </w:rPr>
        <w:t>第十四条 优化材料</w:t>
      </w:r>
      <w:bookmarkEnd w:id="51"/>
      <w:bookmarkEnd w:id="52"/>
      <w:bookmarkEnd w:id="53"/>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进一步精简申请材料，取消非法定材料；电子证照和由政府部门出具的结果（含意见、批文等）不再由申请人提交；重复的报审材料只要求申请人提交一次；在主要材料齐全且符合法定条件的情况下，容缺次要材料，审批部门同步开展审查并在承诺时限内作出审批决定。</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施工许可阶段，取消业主工程款支付保函、承包商履约保函、工人工资保证金缴存证明文件（或银行保函）和工人工资支付分账管理证明作为办理施工许可的前置条件，改由各行业主管部门建立专项核查机制，对项目实施过程中通过事中事后监管予以核查。但在项目取得开工许可一个月内办理好工人工资保证金缴存证明文件（或银行保函）和工人工资支付分账管理证明，送住建、</w:t>
      </w:r>
      <w:r>
        <w:rPr>
          <w:rFonts w:hint="eastAsia" w:ascii="仿宋" w:hAnsi="仿宋" w:eastAsia="仿宋" w:cs="仿宋"/>
          <w:color w:val="auto"/>
          <w:sz w:val="32"/>
          <w:szCs w:val="32"/>
        </w:rPr>
        <w:t>交通、水务</w:t>
      </w:r>
      <w:r>
        <w:rPr>
          <w:rFonts w:hint="eastAsia" w:ascii="仿宋" w:hAnsi="仿宋" w:eastAsia="仿宋" w:cs="仿宋"/>
          <w:sz w:val="32"/>
          <w:szCs w:val="32"/>
        </w:rPr>
        <w:t>行业主管部门及人社部门备案。</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54" w:name="_Toc21748"/>
      <w:bookmarkStart w:id="55" w:name="_Toc2725"/>
      <w:bookmarkStart w:id="56" w:name="_Toc18276"/>
      <w:r>
        <w:rPr>
          <w:rFonts w:hint="eastAsia" w:ascii="楷体" w:hAnsi="楷体" w:eastAsia="楷体" w:cs="楷体"/>
          <w:kern w:val="0"/>
          <w:sz w:val="32"/>
          <w:szCs w:val="32"/>
          <w:lang w:bidi="ar"/>
        </w:rPr>
        <w:t>第十五条 简化程序</w:t>
      </w:r>
      <w:bookmarkEnd w:id="54"/>
      <w:bookmarkEnd w:id="55"/>
      <w:bookmarkEnd w:id="56"/>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改变以批代管的审批管理观念和模式，推行告知承诺制，凡实行告知承诺制的事项，实行收件确认，建设单位按要求作出书面承诺并对所申报材料的真实性、有效性负责，审批部门依承诺作出审批决定并对备案内容承担后续检查管理职责。告知承诺实施办法由</w:t>
      </w:r>
      <w:r>
        <w:rPr>
          <w:rFonts w:hint="eastAsia" w:ascii="仿宋" w:hAnsi="仿宋" w:eastAsia="仿宋" w:cs="仿宋"/>
          <w:sz w:val="32"/>
          <w:szCs w:val="32"/>
          <w:lang w:eastAsia="zh-CN"/>
        </w:rPr>
        <w:t>区</w:t>
      </w:r>
      <w:r>
        <w:rPr>
          <w:rFonts w:hint="eastAsia" w:ascii="仿宋" w:hAnsi="仿宋" w:eastAsia="仿宋" w:cs="仿宋"/>
          <w:sz w:val="32"/>
          <w:szCs w:val="32"/>
        </w:rPr>
        <w:t>政务服务主管部门另行制定。</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各行业主管部门根据项目设计深度，明确规划、建筑节能、绿色建筑、住建、消防、水务、</w:t>
      </w:r>
      <w:r>
        <w:rPr>
          <w:rFonts w:hint="eastAsia" w:ascii="仿宋" w:hAnsi="仿宋" w:eastAsia="仿宋" w:cs="仿宋"/>
          <w:color w:val="auto"/>
          <w:sz w:val="32"/>
          <w:szCs w:val="32"/>
        </w:rPr>
        <w:t>交通</w:t>
      </w:r>
      <w:r>
        <w:rPr>
          <w:rFonts w:hint="eastAsia" w:ascii="仿宋" w:hAnsi="仿宋" w:eastAsia="仿宋" w:cs="仿宋"/>
          <w:sz w:val="32"/>
          <w:szCs w:val="32"/>
        </w:rPr>
        <w:t>、环保、卫生等相关设计指标要求，建设单位承担技术评审工作的主体责任，具体工作可以依托技术专家、技术评审机构，涉及质量、安全、造价的技术评审工作应做深做细，在项目申办时报送相关技术评审结果。</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建设工程规划许可证核发时一并进行设计方案审查，设计方案审查由自然资源部</w:t>
      </w:r>
      <w:r>
        <w:rPr>
          <w:rFonts w:hint="eastAsia" w:ascii="仿宋" w:hAnsi="仿宋" w:eastAsia="仿宋" w:cs="仿宋"/>
          <w:color w:val="auto"/>
          <w:sz w:val="32"/>
          <w:szCs w:val="32"/>
        </w:rPr>
        <w:t>门统一征询</w:t>
      </w:r>
      <w:r>
        <w:rPr>
          <w:rFonts w:hint="eastAsia" w:ascii="仿宋" w:hAnsi="仿宋" w:eastAsia="仿宋" w:cs="仿宋"/>
          <w:sz w:val="32"/>
          <w:szCs w:val="32"/>
        </w:rPr>
        <w:t>规划、水务、文物、应急、消防、卫生健康</w:t>
      </w:r>
      <w:r>
        <w:rPr>
          <w:rFonts w:hint="eastAsia" w:ascii="仿宋" w:hAnsi="仿宋" w:eastAsia="仿宋" w:cs="仿宋"/>
          <w:color w:val="auto"/>
          <w:sz w:val="32"/>
          <w:szCs w:val="32"/>
        </w:rPr>
        <w:t>、国安等部门意见，教育、民政、交通</w:t>
      </w:r>
      <w:r>
        <w:rPr>
          <w:rFonts w:hint="eastAsia" w:ascii="仿宋" w:hAnsi="仿宋" w:eastAsia="仿宋" w:cs="仿宋"/>
          <w:sz w:val="32"/>
          <w:szCs w:val="32"/>
        </w:rPr>
        <w:t>、电力、燃气、水务、文化、工信等其他部门和公共服务企业意见按需征询，各部门对设计方案进行复核、限时答复，不再对设计方案进行单独审批，审查通过后由自然资源部门会同有关部门同步开展各项许可批前公示，分别核发相关证件。</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住房城乡建设部门整合规划、建筑、</w:t>
      </w:r>
      <w:r>
        <w:rPr>
          <w:rFonts w:hint="eastAsia" w:ascii="仿宋" w:hAnsi="仿宋" w:eastAsia="仿宋" w:cs="仿宋"/>
          <w:color w:val="auto"/>
          <w:sz w:val="32"/>
          <w:szCs w:val="32"/>
        </w:rPr>
        <w:t>人防、防雷</w:t>
      </w:r>
      <w:r>
        <w:rPr>
          <w:rFonts w:hint="eastAsia" w:ascii="仿宋" w:hAnsi="仿宋" w:eastAsia="仿宋" w:cs="仿宋"/>
          <w:sz w:val="32"/>
          <w:szCs w:val="32"/>
        </w:rPr>
        <w:t>等相关部门施工图审查环节，编制统一的施工图审查要点，通过政府购买服务的方式开展施工图审查，施工图审查机构按照统一标准进行审查，承担技术评审责任。项目建设、设计单位或审查单位及其相关负责人员、执业资格人员对建设工程的质量负相应终身责任。</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kern w:val="0"/>
          <w:sz w:val="32"/>
          <w:szCs w:val="32"/>
          <w:lang w:bidi="ar"/>
        </w:rPr>
      </w:pPr>
      <w:r>
        <w:rPr>
          <w:rFonts w:hint="eastAsia" w:ascii="仿宋" w:hAnsi="仿宋" w:eastAsia="仿宋" w:cs="仿宋"/>
          <w:sz w:val="32"/>
          <w:szCs w:val="32"/>
        </w:rPr>
        <w:t>将竣工验收涉及的规划测量、不动产测绘以及</w:t>
      </w:r>
      <w:r>
        <w:rPr>
          <w:rFonts w:hint="eastAsia" w:ascii="仿宋" w:hAnsi="仿宋" w:eastAsia="仿宋" w:cs="仿宋"/>
          <w:color w:val="auto"/>
          <w:sz w:val="32"/>
          <w:szCs w:val="32"/>
        </w:rPr>
        <w:t>人防测量</w:t>
      </w:r>
      <w:r>
        <w:rPr>
          <w:rFonts w:hint="eastAsia" w:ascii="仿宋" w:hAnsi="仿宋" w:eastAsia="仿宋" w:cs="仿宋"/>
          <w:sz w:val="32"/>
          <w:szCs w:val="32"/>
        </w:rPr>
        <w:t>等合并为一个综合性联合测绘事项，实行“一次委托、统一测绘、成果共享”。由自然资源部门会同住建管理、</w:t>
      </w:r>
      <w:r>
        <w:rPr>
          <w:rFonts w:hint="eastAsia" w:ascii="仿宋" w:hAnsi="仿宋" w:eastAsia="仿宋" w:cs="仿宋"/>
          <w:color w:val="auto"/>
          <w:sz w:val="32"/>
          <w:szCs w:val="32"/>
        </w:rPr>
        <w:t>人防等</w:t>
      </w:r>
      <w:r>
        <w:rPr>
          <w:rFonts w:hint="eastAsia" w:ascii="仿宋" w:hAnsi="仿宋" w:eastAsia="仿宋" w:cs="仿宋"/>
          <w:sz w:val="32"/>
          <w:szCs w:val="32"/>
        </w:rPr>
        <w:t>部门共同制定联合测绘实施方案，构建全</w:t>
      </w:r>
      <w:r>
        <w:rPr>
          <w:rFonts w:hint="eastAsia" w:ascii="仿宋" w:hAnsi="仿宋" w:eastAsia="仿宋" w:cs="仿宋"/>
          <w:sz w:val="32"/>
          <w:szCs w:val="32"/>
          <w:lang w:eastAsia="zh-CN"/>
        </w:rPr>
        <w:t>区</w:t>
      </w:r>
      <w:r>
        <w:rPr>
          <w:rFonts w:hint="eastAsia" w:ascii="仿宋" w:hAnsi="仿宋" w:eastAsia="仿宋" w:cs="仿宋"/>
          <w:sz w:val="32"/>
          <w:szCs w:val="32"/>
        </w:rPr>
        <w:t>测绘市场和成果质量监管机制，梳理制定全</w:t>
      </w:r>
      <w:r>
        <w:rPr>
          <w:rFonts w:hint="eastAsia" w:ascii="仿宋" w:hAnsi="仿宋" w:eastAsia="仿宋" w:cs="仿宋"/>
          <w:sz w:val="32"/>
          <w:szCs w:val="32"/>
          <w:lang w:eastAsia="zh-CN"/>
        </w:rPr>
        <w:t>区</w:t>
      </w:r>
      <w:r>
        <w:rPr>
          <w:rFonts w:hint="eastAsia" w:ascii="仿宋" w:hAnsi="仿宋" w:eastAsia="仿宋" w:cs="仿宋"/>
          <w:sz w:val="32"/>
          <w:szCs w:val="32"/>
        </w:rPr>
        <w:t>统一的技术标准和测绘成果要求，建立联合测绘成果质量审核、入库管理、成果共享于一体的信息化测绘体系。</w:t>
      </w:r>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center"/>
        <w:textAlignment w:val="auto"/>
        <w:outlineLvl w:val="0"/>
        <w:rPr>
          <w:rFonts w:hint="eastAsia" w:ascii="黑体" w:hAnsi="黑体" w:eastAsia="黑体" w:cs="黑体"/>
          <w:kern w:val="0"/>
          <w:sz w:val="32"/>
          <w:szCs w:val="32"/>
          <w:lang w:bidi="ar"/>
        </w:rPr>
      </w:pPr>
      <w:bookmarkStart w:id="57" w:name="_Toc32549"/>
      <w:bookmarkStart w:id="58" w:name="_Toc20287"/>
      <w:bookmarkStart w:id="59" w:name="_Toc10259"/>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center"/>
        <w:textAlignment w:val="auto"/>
        <w:outlineLvl w:val="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第五章 审批流程</w:t>
      </w:r>
      <w:bookmarkEnd w:id="57"/>
      <w:bookmarkEnd w:id="58"/>
      <w:bookmarkEnd w:id="59"/>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jc w:val="left"/>
        <w:textAlignment w:val="auto"/>
        <w:outlineLvl w:val="1"/>
        <w:rPr>
          <w:rFonts w:hint="eastAsia" w:ascii="楷体" w:hAnsi="楷体" w:eastAsia="楷体" w:cs="楷体"/>
          <w:kern w:val="0"/>
          <w:sz w:val="32"/>
          <w:szCs w:val="32"/>
          <w:lang w:bidi="ar"/>
        </w:rPr>
      </w:pPr>
      <w:bookmarkStart w:id="60" w:name="_Toc1773"/>
      <w:bookmarkStart w:id="61" w:name="_Toc7272"/>
      <w:bookmarkStart w:id="62" w:name="_Toc27888"/>
      <w:r>
        <w:rPr>
          <w:rFonts w:hint="eastAsia" w:ascii="楷体" w:hAnsi="楷体" w:eastAsia="楷体" w:cs="楷体"/>
          <w:kern w:val="0"/>
          <w:sz w:val="32"/>
          <w:szCs w:val="32"/>
          <w:lang w:bidi="ar"/>
        </w:rPr>
        <w:t>第十六条 审批阶段</w:t>
      </w:r>
      <w:bookmarkEnd w:id="60"/>
      <w:bookmarkEnd w:id="61"/>
      <w:bookmarkEnd w:id="62"/>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业项目、其他项目的审批流程划分为立项用地规划、工程建设许可、施工许可、竣工验收四个审批阶段。社会投资小型项目和带方案出让用地项目的审批流程划分为工程建设许可、施工许可、竣工验收三个审批阶段。装饰装修工程的审批流程划分为施工许可、竣工验收两个审批阶段。</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每个阶段包括应办理审批事项和可能涉及办理的审批事项，两类事项并行推进。各阶段内办理的审批事项均不互为前置，具备必要条件即可办理。</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jc w:val="left"/>
        <w:textAlignment w:val="auto"/>
        <w:outlineLvl w:val="1"/>
        <w:rPr>
          <w:rFonts w:hint="eastAsia" w:ascii="楷体" w:hAnsi="楷体" w:eastAsia="楷体" w:cs="楷体"/>
          <w:kern w:val="0"/>
          <w:sz w:val="32"/>
          <w:szCs w:val="32"/>
          <w:lang w:bidi="ar"/>
        </w:rPr>
      </w:pPr>
      <w:bookmarkStart w:id="63" w:name="_Toc24496"/>
      <w:bookmarkStart w:id="64" w:name="_Toc21824"/>
      <w:bookmarkStart w:id="65" w:name="_Toc20555"/>
      <w:r>
        <w:rPr>
          <w:rFonts w:hint="eastAsia" w:ascii="楷体" w:hAnsi="楷体" w:eastAsia="楷体" w:cs="楷体"/>
          <w:kern w:val="0"/>
          <w:sz w:val="32"/>
          <w:szCs w:val="32"/>
          <w:lang w:bidi="ar"/>
        </w:rPr>
        <w:t>第十七条 时限要求</w:t>
      </w:r>
      <w:bookmarkEnd w:id="63"/>
      <w:bookmarkEnd w:id="64"/>
      <w:bookmarkEnd w:id="65"/>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工业项目、其他项目审批用时60个工作日，其中，立项用地规划10个工作日、工程建设许可20个工作日、施工许可18个工作日、竣工验收12个工作日。</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社会投资小型项目的审批用时45个工作日，其中，工程建设许可20个工作日、施工许可15个工作日、竣工验收10个工作日。</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带方案出让用地项目的审批用时30个工作日，其中，工程建设许可8个工作日、施工许可12个工作日、竣工验收10个工作日。</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装饰装修工程审批用时27个工作日，其中，施工许可17个工作日、竣工验收10个工作日。</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由有资质的社会机构编制方案、报告，设计图纸或进行技术审查等行为，相关工作分阶段穿插推进，作为项目审批主线的技术支撑，独立计时管理。</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由相关行业主管部门对立项文件、规划方案、施工图等进行审批或备案，分阶段核发用地规划许可、工程规划许可、施工许可等行政行为，相关工作作为政府绩效考核主要依据，纳入项目审批计时管理。</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工程建设项目各审批阶段由建设方选择性启动、开工前完成和施工过程中办理的各类审批行为，相关工作与审批主线和技术支撑并行推进，可灵活纳入对应阶段办理，不纳入项目审批计时管理。</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施工过程中按需办理的事项、开工前完成的事项、法定公示时间、建设单位自行组织技术审查、材料准备时间不计入审批时限。</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jc w:val="left"/>
        <w:textAlignment w:val="auto"/>
        <w:outlineLvl w:val="1"/>
        <w:rPr>
          <w:rFonts w:hint="eastAsia" w:ascii="楷体" w:hAnsi="楷体" w:eastAsia="楷体" w:cs="楷体"/>
          <w:kern w:val="0"/>
          <w:sz w:val="32"/>
          <w:szCs w:val="32"/>
          <w:lang w:bidi="ar"/>
        </w:rPr>
      </w:pPr>
      <w:bookmarkStart w:id="66" w:name="_Toc25928"/>
      <w:bookmarkStart w:id="67" w:name="_Toc3188"/>
      <w:bookmarkStart w:id="68" w:name="_Toc7251"/>
      <w:r>
        <w:rPr>
          <w:rFonts w:hint="eastAsia" w:ascii="楷体" w:hAnsi="楷体" w:eastAsia="楷体" w:cs="楷体"/>
          <w:kern w:val="0"/>
          <w:sz w:val="32"/>
          <w:szCs w:val="32"/>
          <w:lang w:bidi="ar"/>
        </w:rPr>
        <w:t>第十八条 实名认证</w:t>
      </w:r>
      <w:bookmarkEnd w:id="66"/>
      <w:bookmarkEnd w:id="67"/>
      <w:bookmarkEnd w:id="68"/>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设单位通过政务服务网使用实名制的数字证书进行核验，将账户可信等级升为L3级别，核验成功后使用数字证书登录政务服务网；未持有数字证书的，应先办理数字证书。建设单位法定代表人或具体申办人也应注册个人账户，按提示完成个人实名认证。</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政务服务网账户可信等级未达L3级别的，可通过政务服务网获取升级方式，或前往阳江市</w:t>
      </w:r>
      <w:r>
        <w:rPr>
          <w:rFonts w:hint="eastAsia" w:ascii="仿宋" w:hAnsi="仿宋" w:eastAsia="仿宋" w:cs="仿宋"/>
          <w:color w:val="auto"/>
          <w:sz w:val="32"/>
          <w:szCs w:val="32"/>
          <w:lang w:val="en-US" w:eastAsia="zh-CN"/>
        </w:rPr>
        <w:t>江城区工程建设项目</w:t>
      </w:r>
      <w:r>
        <w:rPr>
          <w:rFonts w:hint="eastAsia" w:ascii="仿宋" w:hAnsi="仿宋" w:eastAsia="仿宋" w:cs="仿宋"/>
          <w:sz w:val="32"/>
          <w:szCs w:val="32"/>
          <w:lang w:val="zh-CN"/>
        </w:rPr>
        <w:t>综合服务窗口申请提升账户可信等级。</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69" w:name="_Toc14737"/>
      <w:bookmarkStart w:id="70" w:name="_Toc29216"/>
      <w:bookmarkStart w:id="71" w:name="_Toc17484"/>
      <w:r>
        <w:rPr>
          <w:rFonts w:hint="eastAsia" w:ascii="楷体" w:hAnsi="楷体" w:eastAsia="楷体" w:cs="楷体"/>
          <w:kern w:val="0"/>
          <w:sz w:val="32"/>
          <w:szCs w:val="32"/>
          <w:lang w:bidi="ar"/>
        </w:rPr>
        <w:t>第十九条 前期辅导</w:t>
      </w:r>
      <w:bookmarkEnd w:id="69"/>
      <w:bookmarkEnd w:id="70"/>
      <w:bookmarkEnd w:id="71"/>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建设单位在开始项目申报前，可通过政务服务网的“智能咨询平台”咨询、查阅工程建设项目联合审批事项目录、通用审批流程图、联合审批办事指南、常见问题等内容。</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设单位对申报仍然存在疑问的，根据需要选择“人工辅导”，由对应的综合服务窗口按照审批服务平台知识库内容进行线上响应。知识库无对应内容的，由综合服务窗口通过审批服务平台将问题分派至对应审批部门处理，审批部门需在1个工作日内反馈答复内容。综合服务窗口汇总和整理答复内容后通过系统在1个工作日内反馈建设单位，并发送短信（微信）通知建设单位通过政务服务网查阅。</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综合服务窗口应定期对前期辅导服务过程中遇到的问题进行汇总分析，经审批部门确认后录入审批服务平台知识库中，及时通过政务服务网公布。</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jc w:val="left"/>
        <w:textAlignment w:val="auto"/>
        <w:outlineLvl w:val="1"/>
        <w:rPr>
          <w:rFonts w:hint="eastAsia" w:ascii="楷体" w:hAnsi="楷体" w:eastAsia="楷体" w:cs="楷体"/>
          <w:sz w:val="32"/>
          <w:szCs w:val="32"/>
          <w:lang w:val="zh-CN"/>
        </w:rPr>
      </w:pPr>
      <w:bookmarkStart w:id="72" w:name="_Toc14730"/>
      <w:bookmarkStart w:id="73" w:name="_Toc4673"/>
      <w:bookmarkStart w:id="74" w:name="_Toc11900"/>
      <w:bookmarkStart w:id="75" w:name="_Hlk535071864"/>
      <w:r>
        <w:rPr>
          <w:rFonts w:hint="eastAsia" w:ascii="楷体" w:hAnsi="楷体" w:eastAsia="楷体" w:cs="楷体"/>
          <w:kern w:val="0"/>
          <w:sz w:val="32"/>
          <w:szCs w:val="32"/>
          <w:lang w:bidi="ar"/>
        </w:rPr>
        <w:t>第二十条 联合审图</w:t>
      </w:r>
      <w:bookmarkEnd w:id="72"/>
      <w:bookmarkEnd w:id="73"/>
      <w:bookmarkEnd w:id="74"/>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按照“统一平台、多审合一、结果互认、依法监管”的思路，依托互联网和</w:t>
      </w:r>
      <w:r>
        <w:rPr>
          <w:rFonts w:hint="eastAsia" w:ascii="仿宋" w:hAnsi="仿宋" w:eastAsia="仿宋" w:cs="仿宋"/>
          <w:color w:val="auto"/>
          <w:sz w:val="32"/>
          <w:szCs w:val="32"/>
          <w:lang w:val="zh-CN"/>
        </w:rPr>
        <w:t>市</w:t>
      </w:r>
      <w:r>
        <w:rPr>
          <w:rFonts w:hint="eastAsia" w:ascii="仿宋" w:hAnsi="仿宋" w:eastAsia="仿宋" w:cs="仿宋"/>
          <w:sz w:val="32"/>
          <w:szCs w:val="32"/>
          <w:lang w:val="zh-CN"/>
        </w:rPr>
        <w:t>“工程建设项目审批服务平台”，推行全程电子审图，实现“一套图纸联合审查，一个平台多方共享、一家审查多方共管”的施工图审查新模式，推动工程建设项目审批全面提速。</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全面实行多审合一。将房屋建筑和市政基础设施工程建筑、消防、</w:t>
      </w:r>
      <w:r>
        <w:rPr>
          <w:rFonts w:hint="eastAsia" w:ascii="仿宋" w:hAnsi="仿宋" w:eastAsia="仿宋" w:cs="仿宋"/>
          <w:color w:val="auto"/>
          <w:sz w:val="32"/>
          <w:szCs w:val="32"/>
          <w:lang w:val="zh-CN"/>
        </w:rPr>
        <w:t>人防</w:t>
      </w:r>
      <w:r>
        <w:rPr>
          <w:rFonts w:hint="eastAsia" w:ascii="仿宋" w:hAnsi="仿宋" w:eastAsia="仿宋" w:cs="仿宋"/>
          <w:sz w:val="32"/>
          <w:szCs w:val="32"/>
          <w:lang w:val="zh-CN"/>
        </w:rPr>
        <w:t>等技术审查整合并入施工图设计文件审查，按照“一个项目委托一家机构审查”的原则，由建设单位委托一家具备资质的房屋建筑和市政基础设施工程施工图审查机构，依法对施工图设计文件中涉及公共利益、公共安全、工程建设强制性标准的内容进行审查。相关主管部门对施工图技术审查进行业务指导，不再单独从事相关技术审查。</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联合审查原则上不应超过下列时限：大型房屋建筑工程、市政工程15个工作日，中型及以下房屋建筑工程、市政工程10个工作日。施工图审查机构审查合格后应将施工图、审查意见等通过系统推送给建设单位、住房城乡建设部门、</w:t>
      </w:r>
      <w:r>
        <w:rPr>
          <w:rFonts w:hint="eastAsia" w:ascii="仿宋" w:hAnsi="仿宋" w:eastAsia="仿宋" w:cs="仿宋"/>
          <w:color w:val="auto"/>
          <w:sz w:val="32"/>
          <w:szCs w:val="32"/>
          <w:lang w:val="zh-CN"/>
        </w:rPr>
        <w:t>人防</w:t>
      </w:r>
      <w:r>
        <w:rPr>
          <w:rFonts w:hint="eastAsia" w:ascii="仿宋" w:hAnsi="仿宋" w:eastAsia="仿宋" w:cs="仿宋"/>
          <w:sz w:val="32"/>
          <w:szCs w:val="32"/>
          <w:lang w:val="zh-CN"/>
        </w:rPr>
        <w:t>部门、消防等相关单位。</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jc w:val="left"/>
        <w:textAlignment w:val="auto"/>
        <w:outlineLvl w:val="1"/>
        <w:rPr>
          <w:rFonts w:hint="eastAsia" w:ascii="楷体" w:hAnsi="楷体" w:eastAsia="楷体" w:cs="楷体"/>
          <w:kern w:val="0"/>
          <w:sz w:val="32"/>
          <w:szCs w:val="32"/>
          <w:lang w:bidi="ar"/>
        </w:rPr>
      </w:pPr>
      <w:bookmarkStart w:id="76" w:name="_Toc15840"/>
      <w:bookmarkStart w:id="77" w:name="_Toc8074"/>
      <w:bookmarkStart w:id="78" w:name="_Toc15822"/>
      <w:r>
        <w:rPr>
          <w:rFonts w:hint="eastAsia" w:ascii="楷体" w:hAnsi="楷体" w:eastAsia="楷体" w:cs="楷体"/>
          <w:kern w:val="0"/>
          <w:sz w:val="32"/>
          <w:szCs w:val="32"/>
          <w:lang w:bidi="ar"/>
        </w:rPr>
        <w:t>第二十一条 联合测绘</w:t>
      </w:r>
      <w:bookmarkEnd w:id="76"/>
      <w:bookmarkEnd w:id="77"/>
      <w:bookmarkEnd w:id="78"/>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立工程建设项目竣工阶段联合测绘机制，优化测绘环节和工作内容，采用“业主一次委托、机构联合测绘、成果共享共用”的方式实施，逐步建立标准统一、竞争有序、服务高效的测绘服务市场，达到“提效增速，优化服务”的工作目标。</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工程建设项目业主自主选择或从广东省网上中介服务超市选取，一次委托一家测绘单位承担联合测绘服务。测绘中介服务机构依据全区统一的联合测绘技术标准和规程实施生产任务。自然资源部门对联合测绘成果进行质量审核，将符合测量技术标准规程的成果共享至审批服务平台。</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79" w:name="_Toc29658"/>
      <w:bookmarkStart w:id="80" w:name="_Toc19281"/>
      <w:bookmarkStart w:id="81" w:name="_Toc2456"/>
      <w:r>
        <w:rPr>
          <w:rFonts w:hint="eastAsia" w:ascii="楷体" w:hAnsi="楷体" w:eastAsia="楷体" w:cs="楷体"/>
          <w:kern w:val="0"/>
          <w:sz w:val="32"/>
          <w:szCs w:val="32"/>
          <w:lang w:bidi="ar"/>
        </w:rPr>
        <w:t>第二十二条 项目申报</w:t>
      </w:r>
      <w:bookmarkEnd w:id="75"/>
      <w:bookmarkEnd w:id="79"/>
      <w:bookmarkEnd w:id="80"/>
      <w:bookmarkEnd w:id="81"/>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设单位获取项目代码后，通过政务服务网的“工程建设”专栏启动业务申报，未获取项目代码的进入“全国投资项目在线审批监管平台（广东）”登记项目信息，获取项目代码。备案类项目经备案后获得的备案号即为项目代码，无需另外登记。建设单位通过政务服务网的“智能问答”场景式引导确定项目类型、申报阶段、所需办理事项清单等内容。系统自动识别项目登记时已填报的项目信息，确定项目归属地。</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确定项目归属地后，建设单位根据所需办理的事项清单确认具体办理情形，按系统指引填写《基本信息登记表》和经整合后的“一张表单”，上传“一套材料”。如需纸质审批结果物的，可选择窗口或邮寄等方式领取。已有的表单数据和材料数据由系统通过共享数据自动填充，建设单位确认并加载电子签章后提交。可容缺的材料，建设单位填写并签字（盖章）确认《容缺承诺书》后上传至审批服务平台，容缺的材料需在审批部门现场勘察时、领取办理结果前或领取办理结果的同时补交。超过容缺时限后递交容缺申请材料的，需重新提交申请，办理时限重新计算；容缺材料应在领取审批结果物前补齐，逾期未补齐补正容缺材料的列入失信名单，本年度内（日历年）不再适用容缺服务。建设单位提交成功后，系统自动生成《提交申请回执》并发送短信（微信）提醒。</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设单位网上申报时系统出现异常，如申报页面空白、电子材料上传不成功等，可发起“人工服务”，由综合服务窗口线上响应，帮助建设单位解决有关问题。如建设单位需要综合服务窗口协助网上申办，如不熟悉网上操作、不具备电子化高速扫描设备等，可前往</w:t>
      </w:r>
      <w:r>
        <w:rPr>
          <w:rFonts w:hint="eastAsia" w:ascii="仿宋" w:hAnsi="仿宋" w:eastAsia="仿宋" w:cs="仿宋"/>
          <w:sz w:val="32"/>
          <w:szCs w:val="32"/>
          <w:lang w:val="en-US" w:eastAsia="zh-CN"/>
        </w:rPr>
        <w:t>江城区</w:t>
      </w:r>
      <w:r>
        <w:rPr>
          <w:rFonts w:hint="eastAsia" w:ascii="仿宋" w:hAnsi="仿宋" w:eastAsia="仿宋" w:cs="仿宋"/>
          <w:sz w:val="32"/>
          <w:szCs w:val="32"/>
          <w:lang w:val="zh-CN"/>
        </w:rPr>
        <w:t>政</w:t>
      </w:r>
      <w:r>
        <w:rPr>
          <w:rFonts w:hint="eastAsia" w:ascii="仿宋" w:hAnsi="仿宋" w:eastAsia="仿宋" w:cs="仿宋"/>
          <w:sz w:val="32"/>
          <w:szCs w:val="32"/>
          <w:lang w:val="en-US" w:eastAsia="zh-CN"/>
        </w:rPr>
        <w:t>务</w:t>
      </w:r>
      <w:r>
        <w:rPr>
          <w:rFonts w:hint="eastAsia" w:ascii="仿宋" w:hAnsi="仿宋" w:eastAsia="仿宋" w:cs="仿宋"/>
          <w:sz w:val="32"/>
          <w:szCs w:val="32"/>
          <w:lang w:val="zh-CN"/>
        </w:rPr>
        <w:t>服务大厅申报辅导区提出协办申请。</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82" w:name="_Toc16394"/>
      <w:bookmarkStart w:id="83" w:name="_Toc31599"/>
      <w:bookmarkStart w:id="84" w:name="_Toc9256"/>
      <w:r>
        <w:rPr>
          <w:rFonts w:hint="eastAsia" w:ascii="楷体" w:hAnsi="楷体" w:eastAsia="楷体" w:cs="楷体"/>
          <w:kern w:val="0"/>
          <w:sz w:val="32"/>
          <w:szCs w:val="32"/>
          <w:lang w:bidi="ar"/>
        </w:rPr>
        <w:t>第二十三条 综合预受理</w:t>
      </w:r>
      <w:bookmarkEnd w:id="82"/>
      <w:bookmarkEnd w:id="83"/>
      <w:bookmarkEnd w:id="84"/>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sz w:val="32"/>
          <w:szCs w:val="32"/>
          <w:lang w:val="zh-CN"/>
        </w:rPr>
        <w:t>建设单位在政务服务网成功提交项目申报后，业务件流转到审批服务平台。审批服务平台根据备案类业务件的权限问答、核准类业务件的项目归属地分派至</w:t>
      </w:r>
      <w:r>
        <w:rPr>
          <w:rFonts w:hint="eastAsia" w:ascii="仿宋" w:hAnsi="仿宋" w:eastAsia="仿宋" w:cs="仿宋"/>
          <w:color w:val="auto"/>
          <w:sz w:val="32"/>
          <w:szCs w:val="32"/>
          <w:lang w:val="zh-CN"/>
        </w:rPr>
        <w:t>所属层级</w:t>
      </w:r>
      <w:r>
        <w:rPr>
          <w:rFonts w:hint="eastAsia" w:ascii="仿宋" w:hAnsi="仿宋" w:eastAsia="仿宋" w:cs="仿宋"/>
          <w:sz w:val="32"/>
          <w:szCs w:val="32"/>
          <w:lang w:val="zh-CN"/>
        </w:rPr>
        <w:t>的综合服务窗口进行综合预受理。</w:t>
      </w:r>
      <w:r>
        <w:rPr>
          <w:rFonts w:hint="eastAsia" w:ascii="仿宋" w:hAnsi="仿宋" w:eastAsia="仿宋" w:cs="仿宋"/>
          <w:color w:val="auto"/>
          <w:sz w:val="32"/>
          <w:szCs w:val="32"/>
          <w:lang w:val="zh-CN"/>
        </w:rPr>
        <w:t>属于市级的，流转至市级综合服务窗口；属于县（市、区）级或镇（街）的，统一流转到县（市、区）级综合服务窗口；涉及多个层级的，统一流转到上级综合服务窗口。</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综合服务窗口在1个工作日内对业务件是否符合申请资格、申请材料是否齐全、格式是否规范并符合法定形式、是否属于本部门受理范围、部门审批职能和审批权限等内容进行接收确认。符合要求的，予以接收并出具《接收回执》，同时发送短信（微信）提醒；不符合要求的，一次性告知补正要求，出具《申请材料补正说明》后退回业务件，待建设单位补正后再提交申请，同时发送短信（微信）提醒。</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jc w:val="left"/>
        <w:textAlignment w:val="auto"/>
        <w:outlineLvl w:val="1"/>
        <w:rPr>
          <w:rFonts w:hint="eastAsia" w:ascii="楷体" w:hAnsi="楷体" w:eastAsia="楷体" w:cs="楷体"/>
          <w:b/>
          <w:sz w:val="32"/>
          <w:szCs w:val="32"/>
        </w:rPr>
      </w:pPr>
      <w:bookmarkStart w:id="85" w:name="_Toc20696"/>
      <w:bookmarkStart w:id="86" w:name="_Toc24800"/>
      <w:bookmarkStart w:id="87" w:name="_Toc22816"/>
      <w:r>
        <w:rPr>
          <w:rFonts w:hint="eastAsia" w:ascii="楷体" w:hAnsi="楷体" w:eastAsia="楷体" w:cs="楷体"/>
          <w:kern w:val="0"/>
          <w:sz w:val="32"/>
          <w:szCs w:val="32"/>
          <w:lang w:bidi="ar"/>
        </w:rPr>
        <w:t>第二十四条 综合受理</w:t>
      </w:r>
      <w:bookmarkEnd w:id="85"/>
      <w:bookmarkEnd w:id="86"/>
      <w:bookmarkEnd w:id="87"/>
      <w:r>
        <w:rPr>
          <w:rFonts w:hint="eastAsia" w:ascii="楷体" w:hAnsi="楷体" w:eastAsia="楷体" w:cs="楷体"/>
          <w:b/>
          <w:sz w:val="32"/>
          <w:szCs w:val="32"/>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项目通过综合预受理后，由系统自动分派流转至相同层级的各审批部门，各审批部门收到业务件后，属于本层级审批权限的，应按要求及时处理；不属于本层级审批权限的，由审批部门将业务件分派流转至相应层级进行处理。</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各审批部门通过审批服务平台在1个工作日内分别出具受理意见。符合要求的，出具《受理回执》；申请材料需要补正的，出具《申请材料补正告知书》；不符合要求的出具《不予受理通知书》；逾期不告知的，自收到申请材料之日起即为受理。</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审批服务平台自动汇总各审批部门受理意见形成一份《受理回执》、《申请材料补正告知书》或《不予受理通知书》，由综合服务窗口确认后在1个工作日内一次性向建设单位反馈，</w:t>
      </w:r>
      <w:bookmarkStart w:id="88" w:name="_Hlk535074325"/>
      <w:r>
        <w:rPr>
          <w:rFonts w:hint="eastAsia" w:ascii="仿宋" w:hAnsi="仿宋" w:eastAsia="仿宋" w:cs="仿宋"/>
          <w:sz w:val="32"/>
          <w:szCs w:val="32"/>
          <w:lang w:val="zh-CN"/>
        </w:rPr>
        <w:t>同时发送短信（微信）提醒</w:t>
      </w:r>
      <w:bookmarkEnd w:id="88"/>
      <w:bookmarkStart w:id="89" w:name="_Hlk535085783"/>
      <w:r>
        <w:rPr>
          <w:rFonts w:hint="eastAsia" w:ascii="仿宋" w:hAnsi="仿宋" w:eastAsia="仿宋" w:cs="仿宋"/>
          <w:sz w:val="32"/>
          <w:szCs w:val="32"/>
          <w:lang w:val="zh-CN"/>
        </w:rPr>
        <w:t>建设单位登录政务服务网查看、下载或打印，并签收《送达回执》</w:t>
      </w:r>
      <w:bookmarkEnd w:id="89"/>
      <w:r>
        <w:rPr>
          <w:rFonts w:hint="eastAsia" w:ascii="仿宋" w:hAnsi="仿宋" w:eastAsia="仿宋" w:cs="仿宋"/>
          <w:sz w:val="32"/>
          <w:szCs w:val="32"/>
          <w:lang w:val="zh-CN"/>
        </w:rPr>
        <w:t>。</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90" w:name="_Toc3023"/>
      <w:bookmarkStart w:id="91" w:name="_Toc28907"/>
      <w:bookmarkStart w:id="92" w:name="_Toc4626"/>
      <w:r>
        <w:rPr>
          <w:rFonts w:hint="eastAsia" w:ascii="楷体" w:hAnsi="楷体" w:eastAsia="楷体" w:cs="楷体"/>
          <w:kern w:val="0"/>
          <w:sz w:val="32"/>
          <w:szCs w:val="32"/>
          <w:lang w:bidi="ar"/>
        </w:rPr>
        <w:t>第二十五条 联合审批</w:t>
      </w:r>
      <w:bookmarkEnd w:id="90"/>
      <w:bookmarkEnd w:id="91"/>
      <w:bookmarkEnd w:id="92"/>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项目通过综合受理后，各审批部门通过审批服务平台进行联合审批，如事项存在容缺材料的，审批部门需对容缺事项开展审查，在规定期限内提出审查意见，作出审查通过或不予通过的结论。建设单位按约定补齐补正容缺材料的，容缺材料通过审批服务平台流转至审批部门进行审查核验。如建设单位超过容缺时限未能补齐容缺材料的，审批部门可撤销审批决定，建设单位需重新提交申请，办理时限重新计算。审批服务平台自动汇总各审批部门审查结论形成一份审批结果，由牵头部门统一审核后一次性向建设单位反馈，同时发送短信（微信）提醒建设单位登录政务服务网查看、下载或打印，并签收《送达回执》。</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3" w:firstLineChars="200"/>
        <w:jc w:val="left"/>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1.立项用地规划阶段。</w:t>
      </w:r>
      <w:r>
        <w:rPr>
          <w:rFonts w:hint="eastAsia" w:ascii="仿宋" w:hAnsi="仿宋" w:eastAsia="仿宋" w:cs="仿宋"/>
          <w:sz w:val="32"/>
          <w:szCs w:val="32"/>
          <w:lang w:val="zh-CN"/>
        </w:rPr>
        <w:t>由自然资源部门等审批部门在规定时限内完成建设用地(含临时用地)建设规划许可证核发等事项进行并联或并行审批。符合批准条件的，出具《建设用地规划许可证》等审批结果物；不符合批准条件的，出具《不予批准决定书》。</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2.工程建设许可阶段。</w:t>
      </w:r>
      <w:r>
        <w:rPr>
          <w:rFonts w:hint="eastAsia" w:ascii="仿宋" w:hAnsi="仿宋" w:eastAsia="仿宋" w:cs="仿宋"/>
          <w:sz w:val="32"/>
          <w:szCs w:val="32"/>
          <w:lang w:val="zh-CN"/>
        </w:rPr>
        <w:t>由自然资源部门通过审批服务平台对设计方案按需征询水务、应急、</w:t>
      </w:r>
      <w:r>
        <w:rPr>
          <w:rFonts w:hint="eastAsia" w:ascii="仿宋" w:hAnsi="仿宋" w:eastAsia="仿宋" w:cs="仿宋"/>
          <w:color w:val="auto"/>
          <w:sz w:val="32"/>
          <w:szCs w:val="32"/>
          <w:lang w:val="zh-CN"/>
        </w:rPr>
        <w:t>消防、人防、教育、民政、轨道管理、工信等行业主管部门意见，各行业</w:t>
      </w:r>
      <w:r>
        <w:rPr>
          <w:rFonts w:hint="eastAsia" w:ascii="仿宋" w:hAnsi="仿宋" w:eastAsia="仿宋" w:cs="仿宋"/>
          <w:sz w:val="32"/>
          <w:szCs w:val="32"/>
          <w:lang w:val="zh-CN"/>
        </w:rPr>
        <w:t>主管部门在规定时限内进行复核、答复。征询意见统一，由自然资源部门审核后，各审批部门对照事项开展并联审批；征询意见不统一，由自然资源部门协调并统一反馈建设单位在限期内进行整改，建设单位整改时间不能超过20个工作日，超过整改时限的作退件处理。整改期间，业务件在审批服务平台中自动挂起，停止计算审批时间。</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项目通过一次征询后，由自然资源部门等审批部门在规定时限内分别对建设工程规划许可证核发等事项进行并联审批。符合批准条件的，出具《建设工程规划许可证》等审批结果物；不符合批准条件的，出具《不予批准决定书》</w:t>
      </w:r>
      <w:bookmarkStart w:id="93" w:name="_Hlk535081631"/>
      <w:r>
        <w:rPr>
          <w:rFonts w:hint="eastAsia" w:ascii="仿宋" w:hAnsi="仿宋" w:eastAsia="仿宋" w:cs="仿宋"/>
          <w:sz w:val="32"/>
          <w:szCs w:val="32"/>
          <w:lang w:val="zh-CN"/>
        </w:rPr>
        <w:t>。</w:t>
      </w:r>
      <w:bookmarkEnd w:id="93"/>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textAlignment w:val="auto"/>
        <w:rPr>
          <w:rFonts w:hint="eastAsia" w:ascii="仿宋" w:hAnsi="仿宋" w:eastAsia="仿宋" w:cs="仿宋"/>
          <w:color w:val="auto"/>
          <w:sz w:val="32"/>
          <w:szCs w:val="32"/>
          <w:lang w:val="zh-CN"/>
        </w:rPr>
      </w:pPr>
      <w:r>
        <w:rPr>
          <w:rFonts w:hint="eastAsia" w:ascii="仿宋" w:hAnsi="仿宋" w:eastAsia="仿宋" w:cs="仿宋"/>
          <w:b/>
          <w:bCs/>
          <w:sz w:val="32"/>
          <w:szCs w:val="32"/>
          <w:lang w:val="zh-CN"/>
        </w:rPr>
        <w:t>3.施工许可阶段。</w:t>
      </w:r>
      <w:r>
        <w:rPr>
          <w:rFonts w:hint="eastAsia" w:ascii="仿宋" w:hAnsi="仿宋" w:eastAsia="仿宋" w:cs="仿宋"/>
          <w:sz w:val="32"/>
          <w:szCs w:val="32"/>
          <w:lang w:val="zh-CN"/>
        </w:rPr>
        <w:t>住房城乡建设部门组织消防部门等审批部门在1个工作日内分别完成房屋建筑和市政基础设施工程施工图设计文件审查备案、新扩建或改建工程建设工程消防设计审查许可/备案、</w:t>
      </w:r>
      <w:r>
        <w:rPr>
          <w:rFonts w:hint="eastAsia" w:ascii="仿宋" w:hAnsi="仿宋" w:eastAsia="仿宋" w:cs="仿宋"/>
          <w:color w:val="auto"/>
          <w:sz w:val="32"/>
          <w:szCs w:val="32"/>
          <w:lang w:val="zh-CN"/>
        </w:rPr>
        <w:t>人防施工图审查备案、防雷装置设计审核等。</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完成施工图备案后，由住房城乡建设部门等审批部门在规定时限内分别对建筑工程施工许可证核发、人防工程质量监督等事项进行并联审批。符合批准条件的，出具《建筑工程施工许可证》、《人防工程质量受监通知书》等审批结果物；不符合批准条件的，出具《不予批准决定书》。</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3" w:firstLineChars="20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公共设施报装。</w:t>
      </w:r>
      <w:r>
        <w:rPr>
          <w:rFonts w:hint="eastAsia" w:ascii="仿宋" w:hAnsi="仿宋" w:eastAsia="仿宋" w:cs="仿宋"/>
          <w:sz w:val="32"/>
          <w:szCs w:val="32"/>
          <w:lang w:val="zh-CN"/>
        </w:rPr>
        <w:t>调整市政公用基础设施报装接入时序，将供水、供电、燃气、排水、通信、有线广播电视等市政公用基础设施报装接入手续提前到开工前办理，规范报装流程，压缩办理时限，降低报装接入成本，进一步提高市政基础设施报装接入效率和服务水平。</w:t>
      </w:r>
      <w:r>
        <w:rPr>
          <w:rFonts w:hint="eastAsia" w:ascii="仿宋" w:hAnsi="仿宋" w:eastAsia="仿宋" w:cs="仿宋"/>
          <w:sz w:val="32"/>
          <w:szCs w:val="32"/>
          <w:lang w:val="en-US" w:eastAsia="zh-CN"/>
        </w:rPr>
        <w:t>区政务服务中心代办专员与</w:t>
      </w:r>
      <w:r>
        <w:rPr>
          <w:rFonts w:hint="eastAsia" w:ascii="仿宋" w:hAnsi="仿宋" w:eastAsia="仿宋" w:cs="仿宋"/>
          <w:sz w:val="32"/>
          <w:szCs w:val="32"/>
          <w:lang w:val="zh-CN"/>
        </w:rPr>
        <w:t>供水、供电、燃气、排水、通信、有线广播电视等各市政公用服务提供单位</w:t>
      </w:r>
      <w:r>
        <w:rPr>
          <w:rFonts w:hint="eastAsia" w:ascii="仿宋" w:hAnsi="仿宋" w:eastAsia="仿宋" w:cs="仿宋"/>
          <w:sz w:val="32"/>
          <w:szCs w:val="32"/>
          <w:lang w:val="en-US" w:eastAsia="zh-CN"/>
        </w:rPr>
        <w:t>联系并要求其</w:t>
      </w:r>
      <w:r>
        <w:rPr>
          <w:rFonts w:hint="eastAsia" w:ascii="仿宋" w:hAnsi="仿宋" w:eastAsia="仿宋" w:cs="仿宋"/>
          <w:sz w:val="32"/>
          <w:szCs w:val="32"/>
          <w:lang w:val="zh-CN"/>
        </w:rPr>
        <w:t>主动提供接入方案，实现与项目工程建设同步推进。</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3" w:firstLineChars="20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4.竣工验收阶段。</w:t>
      </w:r>
      <w:r>
        <w:rPr>
          <w:rFonts w:hint="eastAsia" w:ascii="仿宋" w:hAnsi="仿宋" w:eastAsia="仿宋" w:cs="仿宋"/>
          <w:sz w:val="32"/>
          <w:szCs w:val="32"/>
          <w:lang w:val="zh-CN"/>
        </w:rPr>
        <w:t>项目通过综合受理，符合验收条件的，由住房城乡建设部门与建设单位约定现场勘察时间，并组织各专项验收人员集中上门进行现场勘察。项目设计、施工、监理、勘察等参建单位负责人由建设单位组织到现场配合验收工作。各专项验收人员按职责规定分别开展验收（勘察）工作。现场勘察完成后，由各专项验收人员在《建设工程竣工联合验收现场勘察意见书》上填写验收（勘察）意见并签字确认。现场勘察须出具明确意见，合格的签注“验收合格”，存在问题需整改的由对应部门出具整改意见。现场勘察意见书一式两份，一份在现场交建设单位，一份由住房城乡建设部门上传系统平台。</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设单位在5个工作日内根据现场勘查意见完成整改，各验收部门通过审批服务平台进行联合审批，作出验收通过或不予通过的结论。各专项验收通过的由各验收部门出具合格文书上传系统，全部专项验收通过后由审批服务平台自动生成《建设工程竣工联合验收终审意见书》及专项验收合格意见，各验收部门通过系统加盖公章，最后由住房城乡建设部门汇总并统一发放。规定期限内整改不通过的，对应部门出具不合格文书上传系统，项目先行办结，已合格的文书暂不发放，申报资料不退。</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复验。</w:t>
      </w:r>
      <w:r>
        <w:rPr>
          <w:rFonts w:hint="eastAsia" w:ascii="仿宋" w:hAnsi="仿宋" w:eastAsia="仿宋" w:cs="仿宋"/>
          <w:sz w:val="32"/>
          <w:szCs w:val="32"/>
          <w:lang w:val="zh-CN"/>
        </w:rPr>
        <w:t>项目整改完毕后，由建设单位申请复验，无需再递交申报资料。复验由住房城乡建设部门组织专项验收不合格的部门参与，复验后所有专项合格的由住房城乡建设部门统一发放合格文书及终审意见书。</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符合批准条件的，由住房城乡建设部门牵头，组织自然资源、消防、气象等部门分别出具《建(构)筑物工程规划条件核实意见》、《建设工程消防验收意见书》、</w:t>
      </w:r>
      <w:r>
        <w:rPr>
          <w:rFonts w:hint="eastAsia" w:ascii="仿宋" w:hAnsi="仿宋" w:eastAsia="仿宋" w:cs="仿宋"/>
          <w:color w:val="auto"/>
          <w:sz w:val="32"/>
          <w:szCs w:val="32"/>
          <w:lang w:val="zh-CN"/>
        </w:rPr>
        <w:t>《防雷装置设计核准意见书》、《人防工程专项竣工验收备案意见书》或《履行人民防空义务证明书》</w:t>
      </w:r>
      <w:r>
        <w:rPr>
          <w:rFonts w:hint="eastAsia" w:ascii="仿宋" w:hAnsi="仿宋" w:eastAsia="仿宋" w:cs="仿宋"/>
          <w:sz w:val="32"/>
          <w:szCs w:val="32"/>
          <w:lang w:val="zh-CN"/>
        </w:rPr>
        <w:t>等审批结果物。审查过程中发现需要审查补正的，一次性告知建设单位并出具《并联审批意见书》；经审查补正仍不符合批准条件的出具《不予批准决定书》，同时发送短信（微信）提醒建设单位登录政务服务网查看、下载或打印，并签收《送达回执》。</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jc w:val="left"/>
        <w:textAlignment w:val="auto"/>
        <w:outlineLvl w:val="1"/>
        <w:rPr>
          <w:rFonts w:hint="eastAsia" w:ascii="楷体" w:hAnsi="楷体" w:eastAsia="楷体" w:cs="楷体"/>
          <w:kern w:val="0"/>
          <w:sz w:val="32"/>
          <w:szCs w:val="32"/>
          <w:lang w:bidi="ar"/>
        </w:rPr>
      </w:pPr>
      <w:bookmarkStart w:id="94" w:name="_Toc30559"/>
      <w:bookmarkStart w:id="95" w:name="_Toc14388"/>
      <w:bookmarkStart w:id="96" w:name="_Toc865"/>
      <w:r>
        <w:rPr>
          <w:rFonts w:hint="eastAsia" w:ascii="楷体" w:hAnsi="楷体" w:eastAsia="楷体" w:cs="楷体"/>
          <w:kern w:val="0"/>
          <w:sz w:val="32"/>
          <w:szCs w:val="32"/>
          <w:lang w:bidi="ar"/>
        </w:rPr>
        <w:t>第二十六条 结果送达</w:t>
      </w:r>
      <w:bookmarkEnd w:id="94"/>
      <w:bookmarkEnd w:id="95"/>
      <w:bookmarkEnd w:id="96"/>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项目完成并联审批后，需要缴费的，系统出具《缴费通知书》，并发送短信（微信）提醒建设单位按要求完成缴费。各审批部门制作电子证照，未实现电子证照的由审批部门将纸质审批结果物扫描后形成电子审批结果物，统一上传到审批服务平台。电子证照、电子审批结果物通过政务服务网送达建设单位，发送短信（微信）提醒建设单位登录广东政务服务网</w:t>
      </w:r>
      <w:r>
        <w:rPr>
          <w:rFonts w:hint="eastAsia" w:ascii="仿宋" w:hAnsi="仿宋" w:eastAsia="仿宋" w:cs="仿宋"/>
          <w:color w:val="auto"/>
          <w:sz w:val="32"/>
          <w:szCs w:val="32"/>
          <w:lang w:val="zh-CN"/>
        </w:rPr>
        <w:t>（阳江江城）</w:t>
      </w:r>
      <w:r>
        <w:rPr>
          <w:rFonts w:hint="eastAsia" w:ascii="仿宋" w:hAnsi="仿宋" w:eastAsia="仿宋" w:cs="仿宋"/>
          <w:sz w:val="32"/>
          <w:szCs w:val="32"/>
          <w:lang w:val="zh-CN"/>
        </w:rPr>
        <w:t>查看、下载或打印，并签收《送达回执》。</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kern w:val="0"/>
          <w:sz w:val="32"/>
          <w:szCs w:val="32"/>
          <w:lang w:bidi="ar"/>
        </w:rPr>
      </w:pPr>
      <w:r>
        <w:rPr>
          <w:rFonts w:hint="eastAsia" w:ascii="仿宋" w:hAnsi="仿宋" w:eastAsia="仿宋" w:cs="仿宋"/>
          <w:sz w:val="32"/>
          <w:szCs w:val="32"/>
          <w:lang w:val="zh-CN"/>
        </w:rPr>
        <w:t>建设单位需要领取纸质审批结果物的，各审批部门应按约定方式将纸质审批结果物统一送达</w:t>
      </w:r>
      <w:bookmarkStart w:id="97" w:name="_Hlk535086110"/>
      <w:r>
        <w:rPr>
          <w:rFonts w:hint="eastAsia" w:ascii="仿宋" w:hAnsi="仿宋" w:eastAsia="仿宋" w:cs="仿宋"/>
          <w:sz w:val="32"/>
          <w:szCs w:val="32"/>
          <w:lang w:val="zh-CN"/>
        </w:rPr>
        <w:t>综合服务窗口</w:t>
      </w:r>
      <w:bookmarkEnd w:id="97"/>
      <w:r>
        <w:rPr>
          <w:rFonts w:hint="eastAsia" w:ascii="仿宋" w:hAnsi="仿宋" w:eastAsia="仿宋" w:cs="仿宋"/>
          <w:sz w:val="32"/>
          <w:szCs w:val="32"/>
          <w:lang w:val="zh-CN"/>
        </w:rPr>
        <w:t>。综合服务窗口接收纸质审批结果物后，根据建设单位在项目申报时选定的领取方式送达纸质审批结果物。选择窗口送达的，由综合服务窗口发送短信（微信）提醒建设单位领取，并签收《送达回执》；选择邮寄送达的，由综合服务窗口统一通知邮政人员将审批结果物和</w:t>
      </w:r>
      <w:bookmarkStart w:id="98" w:name="_Hlk535086682"/>
      <w:r>
        <w:rPr>
          <w:rFonts w:hint="eastAsia" w:ascii="仿宋" w:hAnsi="仿宋" w:eastAsia="仿宋" w:cs="仿宋"/>
          <w:sz w:val="32"/>
          <w:szCs w:val="32"/>
          <w:lang w:val="zh-CN"/>
        </w:rPr>
        <w:t>《送达回执》</w:t>
      </w:r>
      <w:bookmarkEnd w:id="98"/>
      <w:r>
        <w:rPr>
          <w:rFonts w:hint="eastAsia" w:ascii="仿宋" w:hAnsi="仿宋" w:eastAsia="仿宋" w:cs="仿宋"/>
          <w:sz w:val="32"/>
          <w:szCs w:val="32"/>
          <w:lang w:val="zh-CN"/>
        </w:rPr>
        <w:t>送达建设单位，并发送短信（微信）提醒。邮政人员将建设单位法定代表人或授权经办人签收的《送达回执》回传审批服务平台，并将《送达回执》交回综合服务窗口。</w:t>
      </w:r>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center"/>
        <w:textAlignment w:val="auto"/>
        <w:outlineLvl w:val="0"/>
        <w:rPr>
          <w:rFonts w:hint="eastAsia" w:ascii="黑体" w:hAnsi="黑体" w:eastAsia="黑体" w:cs="黑体"/>
          <w:kern w:val="0"/>
          <w:sz w:val="32"/>
          <w:szCs w:val="32"/>
          <w:lang w:bidi="ar"/>
        </w:rPr>
      </w:pPr>
      <w:bookmarkStart w:id="99" w:name="_Toc25781"/>
      <w:bookmarkStart w:id="100" w:name="_Toc4477"/>
      <w:bookmarkStart w:id="101" w:name="_Toc15826"/>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center"/>
        <w:textAlignment w:val="auto"/>
        <w:outlineLvl w:val="0"/>
        <w:rPr>
          <w:rFonts w:hint="eastAsia" w:ascii="黑体" w:hAnsi="黑体" w:eastAsia="黑体" w:cs="黑体"/>
          <w:sz w:val="32"/>
          <w:szCs w:val="32"/>
        </w:rPr>
      </w:pPr>
      <w:r>
        <w:rPr>
          <w:rFonts w:hint="eastAsia" w:ascii="黑体" w:hAnsi="黑体" w:eastAsia="黑体" w:cs="黑体"/>
          <w:kern w:val="0"/>
          <w:sz w:val="32"/>
          <w:szCs w:val="32"/>
          <w:lang w:bidi="ar"/>
        </w:rPr>
        <w:t>第六章 配套措施</w:t>
      </w:r>
      <w:bookmarkEnd w:id="99"/>
      <w:bookmarkEnd w:id="100"/>
      <w:bookmarkEnd w:id="101"/>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102" w:name="_Toc25755"/>
      <w:bookmarkStart w:id="103" w:name="_Toc11998"/>
      <w:bookmarkStart w:id="104" w:name="_Toc7183"/>
      <w:r>
        <w:rPr>
          <w:rFonts w:hint="eastAsia" w:ascii="楷体" w:hAnsi="楷体" w:eastAsia="楷体" w:cs="楷体"/>
          <w:kern w:val="0"/>
          <w:sz w:val="32"/>
          <w:szCs w:val="32"/>
          <w:lang w:bidi="ar"/>
        </w:rPr>
        <w:t>第二十七条 电子化应用</w:t>
      </w:r>
      <w:bookmarkEnd w:id="102"/>
      <w:bookmarkEnd w:id="103"/>
      <w:bookmarkEnd w:id="104"/>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仿宋" w:hAnsi="仿宋" w:eastAsia="仿宋" w:cs="仿宋"/>
          <w:sz w:val="32"/>
          <w:szCs w:val="32"/>
          <w:lang w:val="zh-CN"/>
        </w:rPr>
      </w:pPr>
      <w:r>
        <w:rPr>
          <w:rFonts w:hint="eastAsia" w:ascii="仿宋" w:hAnsi="仿宋" w:eastAsia="仿宋" w:cs="仿宋"/>
          <w:kern w:val="0"/>
          <w:sz w:val="32"/>
          <w:szCs w:val="32"/>
          <w:lang w:bidi="ar"/>
        </w:rPr>
        <w:t>电子签章。</w:t>
      </w:r>
      <w:r>
        <w:rPr>
          <w:rFonts w:hint="eastAsia" w:ascii="仿宋" w:hAnsi="仿宋" w:eastAsia="仿宋" w:cs="仿宋"/>
          <w:sz w:val="32"/>
          <w:szCs w:val="32"/>
          <w:lang w:val="zh-CN"/>
        </w:rPr>
        <w:t>全面实施电子签章应用，包括电子印章和电子签名的应用。加载电子签章的电子材料与加载实物签章的纸质材料具有同等法律效力。</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kern w:val="0"/>
          <w:sz w:val="32"/>
          <w:szCs w:val="32"/>
          <w:lang w:bidi="ar"/>
        </w:rPr>
        <w:t>电子表单。</w:t>
      </w:r>
      <w:r>
        <w:rPr>
          <w:rFonts w:hint="eastAsia" w:ascii="仿宋" w:hAnsi="仿宋" w:eastAsia="仿宋" w:cs="仿宋"/>
          <w:sz w:val="32"/>
          <w:szCs w:val="32"/>
          <w:lang w:val="zh-CN"/>
        </w:rPr>
        <w:t>全面实施电子表单应用，通</w:t>
      </w:r>
      <w:bookmarkStart w:id="132" w:name="_GoBack"/>
      <w:bookmarkEnd w:id="132"/>
      <w:r>
        <w:rPr>
          <w:rFonts w:hint="eastAsia" w:ascii="仿宋" w:hAnsi="仿宋" w:eastAsia="仿宋" w:cs="仿宋"/>
          <w:sz w:val="32"/>
          <w:szCs w:val="32"/>
          <w:lang w:val="zh-CN"/>
        </w:rPr>
        <w:t>过政务服务网、实体大厅自助填表设备填写电子表单，经身份认证后历史数据自动填充，建设单位对复用信息进行确认或修改并加载电子签章后自动流转到审批服务平台。电子表单应用情况统一纳入效能监督平台，收集、分析电子表单数据，对表单电子化比例及电子表单应用比例进行监察、考核。</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kern w:val="0"/>
          <w:sz w:val="32"/>
          <w:szCs w:val="32"/>
          <w:lang w:bidi="ar"/>
        </w:rPr>
        <w:t>电子材料。</w:t>
      </w:r>
      <w:r>
        <w:rPr>
          <w:rFonts w:hint="eastAsia" w:ascii="仿宋" w:hAnsi="仿宋" w:eastAsia="仿宋" w:cs="仿宋"/>
          <w:sz w:val="32"/>
          <w:szCs w:val="32"/>
          <w:lang w:val="zh-CN"/>
        </w:rPr>
        <w:t>全面实施申请材料电子化，电子化材料存储到电子材料库形成电子材料实例，电子材料实例可供建设单位在网上申报时调取复用。材料标准应用数据统一纳入效能监督平台。</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kern w:val="0"/>
          <w:sz w:val="32"/>
          <w:szCs w:val="32"/>
          <w:lang w:bidi="ar"/>
        </w:rPr>
        <w:t>电子归档。</w:t>
      </w:r>
      <w:r>
        <w:rPr>
          <w:rFonts w:hint="eastAsia" w:ascii="仿宋" w:hAnsi="仿宋" w:eastAsia="仿宋" w:cs="仿宋"/>
          <w:sz w:val="32"/>
          <w:szCs w:val="32"/>
          <w:lang w:val="zh-CN"/>
        </w:rPr>
        <w:t>全面实施审批材料电子归档，包括对业务办理过程中的材料、申请表单、各类回执、各类证照信息等内容电子化，实行统一编码、统一管理、统一归档，形成电子档案并留存。各部门在权限范围内可进行电子档案的查询、下载、打印，并获取有关统计分析数据。</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105" w:name="_Toc10822"/>
      <w:bookmarkStart w:id="106" w:name="_Toc19725"/>
      <w:bookmarkStart w:id="107" w:name="_Toc13217"/>
      <w:r>
        <w:rPr>
          <w:rFonts w:hint="eastAsia" w:ascii="楷体" w:hAnsi="楷体" w:eastAsia="楷体" w:cs="楷体"/>
          <w:kern w:val="0"/>
          <w:sz w:val="32"/>
          <w:szCs w:val="32"/>
          <w:lang w:bidi="ar"/>
        </w:rPr>
        <w:t>第二十八条 建设单位</w:t>
      </w:r>
      <w:bookmarkEnd w:id="105"/>
      <w:bookmarkEnd w:id="106"/>
      <w:bookmarkEnd w:id="107"/>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建设单位通过在线平台完成项目审批的事项报件、项目变更、中止申请等，对申报信息的真实性、有效性负责。</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申报材料不具备许可条件或内容深度达不到审批要求，但能补齐补正的，审批部门通过审批服务平台一次性明确告知建设单位补齐补正要求。需要补齐补正申报材料的，以完善材料后为正式受理时间。</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建设单位收到补齐补正通知后20个工作日内未补齐补正材料的，予以退件处理。退件处理的，审批服务平台纳入报件质量统计。</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建设单位应严格履行项目建设的主体责任，严格执行建设项目各项标准，与政府部门协同配合，提高项目相关设计文件、申报材料的质量，及时报建，项目报建情况纳入在线平台数据分析。</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108" w:name="_Toc26427"/>
      <w:bookmarkStart w:id="109" w:name="_Toc16639"/>
      <w:bookmarkStart w:id="110" w:name="_Toc18532"/>
      <w:r>
        <w:rPr>
          <w:rFonts w:hint="eastAsia" w:ascii="楷体" w:hAnsi="楷体" w:eastAsia="楷体" w:cs="楷体"/>
          <w:kern w:val="0"/>
          <w:sz w:val="32"/>
          <w:szCs w:val="32"/>
          <w:lang w:bidi="ar"/>
        </w:rPr>
        <w:t>第二十九条 监管平台</w:t>
      </w:r>
      <w:bookmarkEnd w:id="108"/>
      <w:bookmarkEnd w:id="109"/>
      <w:bookmarkEnd w:id="110"/>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立阳江市工程建设项目效能监督平台，建立与工程建设项目审批制度改革相适应的监管体系，从重前置审批向重事中事后监管转变，按照“谁审批谁监管，谁主管谁监管”的原则，全面推行“双随机、一公开”监管制度，加大监督检查力度，严肃查处违法违规行为。进一步落实建设各方的主体责任，经发现存在承诺不兑现或弄虚作假等行为并查实的，记入企业和个人诚信档案，由相关部门按规定实施联合惩戒；情节严重的，列入严重失信企业名单，增加违规和失信成本。</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111" w:name="_Toc2332"/>
      <w:bookmarkStart w:id="112" w:name="_Toc29557"/>
      <w:bookmarkStart w:id="113" w:name="_Toc13782"/>
      <w:r>
        <w:rPr>
          <w:rFonts w:hint="eastAsia" w:ascii="楷体" w:hAnsi="楷体" w:eastAsia="楷体" w:cs="楷体"/>
          <w:kern w:val="0"/>
          <w:sz w:val="32"/>
          <w:szCs w:val="32"/>
          <w:lang w:bidi="ar"/>
        </w:rPr>
        <w:t>第三十条 诚信体系</w:t>
      </w:r>
      <w:bookmarkEnd w:id="111"/>
      <w:bookmarkEnd w:id="112"/>
      <w:bookmarkEnd w:id="113"/>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立工程建设项目审批信用信息平台，与市公共信用信息平台实施对接和信息共享，汇集各审批监管部门记录的信用信息，建立健全覆盖建设单位、工程勘察、设计、施工、监理、检测等各类企业和从业人员信用档案。建立相关企业及其从业人员黑名单制度，对企业和从业人员违法违规、不履行承诺、弄虚作假等不良行为列入黑名单，在政务服务网、信用阳江网向社会公开，由相关部门按规定实施联合惩戒，在行政审批、事中事后监管、公共资源交易领域开展应用，构建“一处失信、处处受限”的联合惩戒机制。</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114" w:name="_Toc31853"/>
      <w:bookmarkStart w:id="115" w:name="_Toc21420"/>
      <w:bookmarkStart w:id="116" w:name="_Toc29930"/>
      <w:r>
        <w:rPr>
          <w:rFonts w:hint="eastAsia" w:ascii="楷体" w:hAnsi="楷体" w:eastAsia="楷体" w:cs="楷体"/>
          <w:kern w:val="0"/>
          <w:sz w:val="32"/>
          <w:szCs w:val="32"/>
          <w:lang w:bidi="ar"/>
        </w:rPr>
        <w:t>第三十一条 中介管理</w:t>
      </w:r>
      <w:bookmarkEnd w:id="114"/>
      <w:bookmarkEnd w:id="115"/>
      <w:bookmarkEnd w:id="116"/>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健全中介服务管理制度，规范行业服务标准、流程、收费，提升完善网上中介服务超市功能，扩大中介事项管理范围，加强网签合同的应用，引导鼓励社会投资项目进入网上中介服务超市运行。支持培育第三方咨询服务机构提供市场化专业化的咨询服务，鼓励有条件的建设单位开展建筑师负责制试点或委托符合要求的项目管理单位开展全过程工程咨询服务。</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117" w:name="_Toc11770"/>
      <w:bookmarkStart w:id="118" w:name="_Toc9413"/>
      <w:bookmarkStart w:id="119" w:name="_Toc16787"/>
      <w:r>
        <w:rPr>
          <w:rFonts w:hint="eastAsia" w:ascii="楷体" w:hAnsi="楷体" w:eastAsia="楷体" w:cs="楷体"/>
          <w:kern w:val="0"/>
          <w:sz w:val="32"/>
          <w:szCs w:val="32"/>
          <w:lang w:bidi="ar"/>
        </w:rPr>
        <w:t>第三十二条 风险管控</w:t>
      </w:r>
      <w:bookmarkEnd w:id="117"/>
      <w:bookmarkEnd w:id="118"/>
      <w:bookmarkEnd w:id="119"/>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zh-CN"/>
        </w:rPr>
        <w:t>建立与工程建设项目审批制度改革相适应的质量安全监管体系。明确工程建设项目检查事项清单和检查工作细则，实施重点检查和专项检查，严肃查处违法违规行为。大力推行工程质量潜在缺陷保险，通过保险公司聘请的第三方风险管理机构，为工程建设项目提供全流程质量风险管控服务。</w:t>
      </w:r>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center"/>
        <w:textAlignment w:val="auto"/>
        <w:outlineLvl w:val="0"/>
        <w:rPr>
          <w:rFonts w:hint="eastAsia" w:ascii="黑体" w:hAnsi="黑体" w:eastAsia="黑体" w:cs="黑体"/>
          <w:kern w:val="0"/>
          <w:sz w:val="32"/>
          <w:szCs w:val="32"/>
          <w:lang w:bidi="ar"/>
        </w:rPr>
      </w:pPr>
      <w:bookmarkStart w:id="120" w:name="_Toc21978"/>
      <w:bookmarkStart w:id="121" w:name="_Toc6891"/>
      <w:bookmarkStart w:id="122" w:name="_Toc13056"/>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center"/>
        <w:textAlignment w:val="auto"/>
        <w:outlineLvl w:val="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第七章 附 则</w:t>
      </w:r>
      <w:bookmarkEnd w:id="120"/>
      <w:bookmarkEnd w:id="121"/>
      <w:bookmarkEnd w:id="122"/>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123" w:name="_Toc8818"/>
      <w:bookmarkStart w:id="124" w:name="_Toc25179"/>
      <w:bookmarkStart w:id="125" w:name="_Toc25"/>
      <w:r>
        <w:rPr>
          <w:rFonts w:hint="eastAsia" w:ascii="楷体" w:hAnsi="楷体" w:eastAsia="楷体" w:cs="楷体"/>
          <w:kern w:val="0"/>
          <w:sz w:val="32"/>
          <w:szCs w:val="32"/>
          <w:lang w:bidi="ar"/>
        </w:rPr>
        <w:t>第三十三条 项目分类定义</w:t>
      </w:r>
      <w:bookmarkEnd w:id="123"/>
      <w:bookmarkEnd w:id="124"/>
      <w:bookmarkEnd w:id="125"/>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3" w:firstLineChars="20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工业项目</w:t>
      </w:r>
      <w:r>
        <w:rPr>
          <w:rFonts w:hint="eastAsia" w:ascii="仿宋" w:hAnsi="仿宋" w:eastAsia="仿宋" w:cs="仿宋"/>
          <w:sz w:val="32"/>
          <w:szCs w:val="32"/>
          <w:lang w:val="zh-CN"/>
        </w:rPr>
        <w:t>是指全</w:t>
      </w:r>
      <w:r>
        <w:rPr>
          <w:rFonts w:hint="eastAsia" w:ascii="仿宋" w:hAnsi="仿宋" w:eastAsia="仿宋" w:cs="仿宋"/>
          <w:sz w:val="32"/>
          <w:szCs w:val="32"/>
          <w:lang w:val="en-US" w:eastAsia="zh-CN"/>
        </w:rPr>
        <w:t>区</w:t>
      </w:r>
      <w:r>
        <w:rPr>
          <w:rFonts w:hint="eastAsia" w:ascii="仿宋" w:hAnsi="仿宋" w:eastAsia="仿宋" w:cs="仿宋"/>
          <w:sz w:val="32"/>
          <w:szCs w:val="32"/>
          <w:lang w:val="zh-CN"/>
        </w:rPr>
        <w:t>范围内土地用途为工业类别的，以新增工业生产能力为主的工程建设项目。</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3" w:firstLineChars="20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带方案出让用地项目</w:t>
      </w:r>
      <w:r>
        <w:rPr>
          <w:rFonts w:hint="eastAsia" w:ascii="仿宋" w:hAnsi="仿宋" w:eastAsia="仿宋" w:cs="仿宋"/>
          <w:sz w:val="32"/>
          <w:szCs w:val="32"/>
          <w:lang w:val="zh-CN"/>
        </w:rPr>
        <w:t>是指全</w:t>
      </w:r>
      <w:r>
        <w:rPr>
          <w:rFonts w:hint="eastAsia" w:ascii="仿宋" w:hAnsi="仿宋" w:eastAsia="仿宋" w:cs="仿宋"/>
          <w:sz w:val="32"/>
          <w:szCs w:val="32"/>
          <w:lang w:val="en-US" w:eastAsia="zh-CN"/>
        </w:rPr>
        <w:t>区</w:t>
      </w:r>
      <w:r>
        <w:rPr>
          <w:rFonts w:hint="eastAsia" w:ascii="仿宋" w:hAnsi="仿宋" w:eastAsia="仿宋" w:cs="仿宋"/>
          <w:sz w:val="32"/>
          <w:szCs w:val="32"/>
          <w:lang w:val="zh-CN"/>
        </w:rPr>
        <w:t>范围内带城市设计方案、建设工程设计方案或基础设施条件等出让用地的工业项目。</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3" w:firstLineChars="20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社会投资小型项目</w:t>
      </w:r>
      <w:r>
        <w:rPr>
          <w:rFonts w:hint="eastAsia" w:ascii="仿宋" w:hAnsi="仿宋" w:eastAsia="仿宋" w:cs="仿宋"/>
          <w:sz w:val="32"/>
          <w:szCs w:val="32"/>
          <w:lang w:val="zh-CN"/>
        </w:rPr>
        <w:t>是指全</w:t>
      </w:r>
      <w:r>
        <w:rPr>
          <w:rFonts w:hint="eastAsia" w:ascii="仿宋" w:hAnsi="仿宋" w:eastAsia="仿宋" w:cs="仿宋"/>
          <w:sz w:val="32"/>
          <w:szCs w:val="32"/>
          <w:lang w:val="en-US" w:eastAsia="zh-CN"/>
        </w:rPr>
        <w:t>区</w:t>
      </w:r>
      <w:r>
        <w:rPr>
          <w:rFonts w:hint="eastAsia" w:ascii="仿宋" w:hAnsi="仿宋" w:eastAsia="仿宋" w:cs="仿宋"/>
          <w:sz w:val="32"/>
          <w:szCs w:val="32"/>
          <w:lang w:val="zh-CN"/>
        </w:rPr>
        <w:t>范围内不涉及危险化学品等需要特殊审批的总建筑面积不大于3000平方米、建筑高度不大于10米、功能单一、技术要求简单的工业项目。</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3" w:firstLineChars="20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其他项目</w:t>
      </w:r>
      <w:r>
        <w:rPr>
          <w:rFonts w:hint="eastAsia" w:ascii="仿宋" w:hAnsi="仿宋" w:eastAsia="仿宋" w:cs="仿宋"/>
          <w:sz w:val="32"/>
          <w:szCs w:val="32"/>
          <w:lang w:val="zh-CN"/>
        </w:rPr>
        <w:t>是指除工业项目以外的工程建设项目。</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3" w:firstLineChars="200"/>
        <w:textAlignment w:val="auto"/>
        <w:rPr>
          <w:rFonts w:hint="eastAsia" w:ascii="楷体" w:hAnsi="楷体" w:eastAsia="楷体" w:cs="楷体"/>
          <w:kern w:val="0"/>
          <w:sz w:val="32"/>
          <w:szCs w:val="32"/>
          <w:lang w:bidi="ar"/>
        </w:rPr>
      </w:pPr>
      <w:r>
        <w:rPr>
          <w:rFonts w:hint="eastAsia" w:ascii="仿宋" w:hAnsi="仿宋" w:eastAsia="仿宋" w:cs="仿宋"/>
          <w:b/>
          <w:bCs/>
          <w:sz w:val="32"/>
          <w:szCs w:val="32"/>
          <w:lang w:val="zh-CN"/>
        </w:rPr>
        <w:t>装饰装修工程</w:t>
      </w:r>
      <w:r>
        <w:rPr>
          <w:rFonts w:hint="eastAsia" w:ascii="仿宋" w:hAnsi="仿宋" w:eastAsia="仿宋" w:cs="仿宋"/>
          <w:sz w:val="32"/>
          <w:szCs w:val="32"/>
          <w:lang w:val="zh-CN"/>
        </w:rPr>
        <w:t>是指建筑室内装饰装修、建筑外表面装饰装修（不包含超出主体结构及原有围护结构边界，增加建筑面积和改变原立面与公共空间边界，改变建筑空间围合性质的装饰装修工程）等零散工程项目。</w:t>
      </w:r>
      <w:bookmarkStart w:id="126" w:name="_Toc30671"/>
      <w:bookmarkStart w:id="127" w:name="_Toc11746"/>
      <w:bookmarkStart w:id="128" w:name="_Toc14006"/>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r>
        <w:rPr>
          <w:rFonts w:hint="eastAsia" w:ascii="楷体" w:hAnsi="楷体" w:eastAsia="楷体" w:cs="楷体"/>
          <w:kern w:val="0"/>
          <w:sz w:val="32"/>
          <w:szCs w:val="32"/>
          <w:lang w:bidi="ar"/>
        </w:rPr>
        <w:t>第三十四条 一次征询涉及部门及范围</w:t>
      </w:r>
      <w:bookmarkEnd w:id="126"/>
      <w:bookmarkEnd w:id="127"/>
      <w:bookmarkEnd w:id="128"/>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协同审批类</w:t>
      </w:r>
      <w:r>
        <w:rPr>
          <w:rFonts w:hint="eastAsia" w:ascii="仿宋" w:hAnsi="仿宋" w:eastAsia="仿宋" w:cs="仿宋"/>
          <w:sz w:val="32"/>
          <w:szCs w:val="32"/>
          <w:lang w:bidi="ar"/>
        </w:rPr>
        <w:br w:type="textWrapping"/>
      </w:r>
      <w:r>
        <w:rPr>
          <w:rFonts w:hint="eastAsia" w:ascii="仿宋" w:hAnsi="仿宋" w:eastAsia="仿宋" w:cs="仿宋"/>
          <w:sz w:val="32"/>
          <w:szCs w:val="32"/>
          <w:lang w:val="zh-CN"/>
        </w:rPr>
        <w:t xml:space="preserve">    水务部门：生产建设项目水土保持方案审批。</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城管部门：污水排入排水管网许可证核发。</w:t>
      </w:r>
      <w:r>
        <w:rPr>
          <w:rFonts w:hint="eastAsia" w:ascii="仿宋" w:hAnsi="仿宋" w:eastAsia="仿宋" w:cs="仿宋"/>
          <w:sz w:val="32"/>
          <w:szCs w:val="32"/>
          <w:lang w:val="zh-CN"/>
        </w:rPr>
        <w:br w:type="textWrapping"/>
      </w:r>
      <w:r>
        <w:rPr>
          <w:rFonts w:hint="eastAsia" w:ascii="仿宋" w:hAnsi="仿宋" w:eastAsia="仿宋" w:cs="仿宋"/>
          <w:sz w:val="32"/>
          <w:szCs w:val="32"/>
          <w:lang w:val="zh-CN"/>
        </w:rPr>
        <w:t xml:space="preserve">    文物部门：文物保护单位建设控制地带内的建设工程设计方案审批；在文物保护单位保护范围内进行其他建设工程审核。</w:t>
      </w:r>
      <w:r>
        <w:rPr>
          <w:rFonts w:hint="eastAsia" w:ascii="仿宋" w:hAnsi="仿宋" w:eastAsia="仿宋" w:cs="仿宋"/>
          <w:sz w:val="32"/>
          <w:szCs w:val="32"/>
          <w:lang w:val="zh-CN"/>
        </w:rPr>
        <w:br w:type="textWrapping"/>
      </w:r>
      <w:r>
        <w:rPr>
          <w:rFonts w:hint="eastAsia" w:ascii="仿宋" w:hAnsi="仿宋" w:eastAsia="仿宋" w:cs="仿宋"/>
          <w:sz w:val="32"/>
          <w:szCs w:val="32"/>
          <w:lang w:val="zh-CN"/>
        </w:rPr>
        <w:t xml:space="preserve">    应急部门：非煤矿矿山建设项目安全设施设计审查（含坑探工程安全专篇）、非煤矿矿山建设项目安全设施设计变更审查、金属冶炼建设项目安全设施设计审查。</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卫生健康部门：饮用水供水单位新、改、扩建供水工程项目选址和设计卫生审查。</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sz w:val="32"/>
          <w:szCs w:val="32"/>
          <w:lang w:val="zh-CN"/>
        </w:rPr>
        <w:t>公安部门:涉及交通类线性项目的交通组织、交通设施、影响交通安全畅顺占道施工方案的审查。</w:t>
      </w:r>
      <w:r>
        <w:rPr>
          <w:rFonts w:hint="eastAsia" w:ascii="仿宋" w:hAnsi="仿宋" w:eastAsia="仿宋" w:cs="仿宋"/>
          <w:sz w:val="32"/>
          <w:szCs w:val="32"/>
          <w:lang w:val="zh-CN"/>
        </w:rPr>
        <w:br w:type="textWrapping"/>
      </w:r>
      <w:r>
        <w:rPr>
          <w:rFonts w:hint="eastAsia" w:ascii="仿宋" w:hAnsi="仿宋" w:eastAsia="仿宋" w:cs="仿宋"/>
          <w:color w:val="00B0F0"/>
          <w:sz w:val="32"/>
          <w:szCs w:val="32"/>
          <w:lang w:val="zh-CN"/>
        </w:rPr>
        <w:t xml:space="preserve"> </w:t>
      </w:r>
      <w:r>
        <w:rPr>
          <w:rFonts w:hint="eastAsia" w:ascii="仿宋" w:hAnsi="仿宋" w:eastAsia="仿宋" w:cs="仿宋"/>
          <w:color w:val="auto"/>
          <w:sz w:val="32"/>
          <w:szCs w:val="32"/>
          <w:lang w:val="zh-CN"/>
        </w:rPr>
        <w:t xml:space="preserve">   国安部门：涉及国家安全事项建设项目审批。</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zh-CN"/>
        </w:rPr>
        <w:t xml:space="preserve">    交通运输部门：涉及轨道交通保护区的建设项目。</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textAlignment w:val="auto"/>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征询意见类</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教育部门：涉及配建或建设幼儿园、中小学等教育设施的建设项目。</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民政部门：涉及配建或建设养老院、福利院等民政社会福利设施的建设项目。</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交通运输部门：涉及配建或建设交通基础设施（含市政道路、行人立体过街设施等）、公交站场（含公交首末站、停靠站、公交停车场、公交养护维修场等）等公共交通设施的建设项目。</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电力部门：涉及配建或建设变配电站等公共电力设施的建设项目。</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燃气部门：涉及配建或建设燃气存储站等公共燃气设施的建设项目。</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城管部门：涉及配建或建设中水处理设施、污水处理站（池）等公共排水设施的建设项目。</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文化部门：涉及配建或建设综合文化活动中心、文化馆、青少年宫、儿童活动中心、老年活动中心等公共文化设施的建设项目。</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工信部门：涉及配建或建设移动基站、微波站等公共通信设施的建设项目。</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jc w:val="left"/>
        <w:textAlignment w:val="auto"/>
        <w:outlineLvl w:val="1"/>
        <w:rPr>
          <w:rFonts w:hint="eastAsia" w:ascii="楷体" w:hAnsi="楷体" w:eastAsia="楷体" w:cs="楷体"/>
          <w:kern w:val="0"/>
          <w:sz w:val="32"/>
          <w:szCs w:val="32"/>
          <w:lang w:bidi="ar"/>
        </w:rPr>
      </w:pPr>
      <w:bookmarkStart w:id="129" w:name="_Toc32767"/>
      <w:bookmarkStart w:id="130" w:name="_Toc12287"/>
      <w:bookmarkStart w:id="131" w:name="_Toc31054"/>
      <w:r>
        <w:rPr>
          <w:rFonts w:hint="eastAsia" w:ascii="楷体" w:hAnsi="楷体" w:eastAsia="楷体" w:cs="楷体"/>
          <w:kern w:val="0"/>
          <w:sz w:val="32"/>
          <w:szCs w:val="32"/>
          <w:lang w:bidi="ar"/>
        </w:rPr>
        <w:t>第三十五条 发布实施</w:t>
      </w:r>
      <w:bookmarkEnd w:id="129"/>
      <w:bookmarkEnd w:id="130"/>
      <w:bookmarkEnd w:id="131"/>
    </w:p>
    <w:p>
      <w:r>
        <w:rPr>
          <w:rFonts w:hint="eastAsia" w:ascii="仿宋" w:hAnsi="仿宋" w:eastAsia="仿宋" w:cs="仿宋"/>
          <w:sz w:val="32"/>
          <w:szCs w:val="32"/>
          <w:lang w:val="zh-CN"/>
        </w:rPr>
        <w:t>本细则自发布之日起实施，自施行之日起有效期2年。在有效期内，可根据实际情况按规定进行修改或废止。</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方正仿宋简体">
    <w:altName w:val="微软雅黑"/>
    <w:panose1 w:val="02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align>top</wp:align>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rFonts w:hint="default" w:ascii="Times New Roman" w:hAnsi="Times New Roman" w:cs="Times New Roman"/>
                              <w:sz w:val="28"/>
                            </w:rPr>
                          </w:pPr>
                          <w:r>
                            <w:rPr>
                              <w:rFonts w:hint="eastAsia" w:ascii="仿宋" w:hAnsi="仿宋" w:eastAsia="仿宋" w:cs="仿宋"/>
                              <w:sz w:val="24"/>
                              <w:szCs w:val="24"/>
                            </w:rPr>
                            <w:fldChar w:fldCharType="begin"/>
                          </w:r>
                          <w:r>
                            <w:rPr>
                              <w:rStyle w:val="8"/>
                              <w:rFonts w:hint="eastAsia" w:ascii="仿宋" w:hAnsi="仿宋" w:eastAsia="仿宋" w:cs="仿宋"/>
                              <w:sz w:val="24"/>
                              <w:szCs w:val="24"/>
                            </w:rPr>
                            <w:instrText xml:space="preserve"> PAGE  </w:instrText>
                          </w:r>
                          <w:r>
                            <w:rPr>
                              <w:rFonts w:hint="eastAsia" w:ascii="仿宋" w:hAnsi="仿宋" w:eastAsia="仿宋" w:cs="仿宋"/>
                              <w:sz w:val="24"/>
                              <w:szCs w:val="24"/>
                            </w:rPr>
                            <w:fldChar w:fldCharType="separate"/>
                          </w:r>
                          <w:r>
                            <w:rPr>
                              <w:rStyle w:val="8"/>
                              <w:rFonts w:hint="eastAsia" w:ascii="仿宋" w:hAnsi="仿宋" w:eastAsia="仿宋" w:cs="仿宋"/>
                              <w:sz w:val="24"/>
                              <w:szCs w:val="24"/>
                            </w:rPr>
                            <w:t>- 2 -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rFonts w:hint="default" w:ascii="Times New Roman" w:hAnsi="Times New Roman" w:cs="Times New Roman"/>
                        <w:sz w:val="28"/>
                      </w:rPr>
                    </w:pPr>
                    <w:r>
                      <w:rPr>
                        <w:rFonts w:hint="eastAsia" w:ascii="仿宋" w:hAnsi="仿宋" w:eastAsia="仿宋" w:cs="仿宋"/>
                        <w:sz w:val="24"/>
                        <w:szCs w:val="24"/>
                      </w:rPr>
                      <w:fldChar w:fldCharType="begin"/>
                    </w:r>
                    <w:r>
                      <w:rPr>
                        <w:rStyle w:val="8"/>
                        <w:rFonts w:hint="eastAsia" w:ascii="仿宋" w:hAnsi="仿宋" w:eastAsia="仿宋" w:cs="仿宋"/>
                        <w:sz w:val="24"/>
                        <w:szCs w:val="24"/>
                      </w:rPr>
                      <w:instrText xml:space="preserve"> PAGE  </w:instrText>
                    </w:r>
                    <w:r>
                      <w:rPr>
                        <w:rFonts w:hint="eastAsia" w:ascii="仿宋" w:hAnsi="仿宋" w:eastAsia="仿宋" w:cs="仿宋"/>
                        <w:sz w:val="24"/>
                        <w:szCs w:val="24"/>
                      </w:rPr>
                      <w:fldChar w:fldCharType="separate"/>
                    </w:r>
                    <w:r>
                      <w:rPr>
                        <w:rStyle w:val="8"/>
                        <w:rFonts w:hint="eastAsia" w:ascii="仿宋" w:hAnsi="仿宋" w:eastAsia="仿宋" w:cs="仿宋"/>
                        <w:sz w:val="24"/>
                        <w:szCs w:val="24"/>
                      </w:rPr>
                      <w:t>- 2 -</w:t>
                    </w:r>
                    <w:r>
                      <w:rPr>
                        <w:rFonts w:hint="eastAsia" w:ascii="仿宋" w:hAnsi="仿宋" w:eastAsia="仿宋" w:cs="仿宋"/>
                        <w:sz w:val="24"/>
                        <w:szCs w:val="24"/>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33FA3"/>
    <w:rsid w:val="07F57C77"/>
    <w:rsid w:val="0CF43BC1"/>
    <w:rsid w:val="25B71E13"/>
    <w:rsid w:val="25D10CFE"/>
    <w:rsid w:val="29C321BC"/>
    <w:rsid w:val="47FB364E"/>
    <w:rsid w:val="4B671A44"/>
    <w:rsid w:val="52905FE0"/>
    <w:rsid w:val="614E1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toc 1"/>
    <w:basedOn w:val="1"/>
    <w:next w:val="1"/>
    <w:uiPriority w:val="0"/>
  </w:style>
  <w:style w:type="paragraph" w:styleId="5">
    <w:name w:val="toc 2"/>
    <w:basedOn w:val="1"/>
    <w:next w:val="1"/>
    <w:uiPriority w:val="0"/>
    <w:pPr>
      <w:ind w:left="420" w:leftChars="200"/>
    </w:p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14329</Words>
  <Characters>14488</Characters>
  <Lines>0</Lines>
  <Paragraphs>0</Paragraphs>
  <TotalTime>41</TotalTime>
  <ScaleCrop>false</ScaleCrop>
  <LinksUpToDate>false</LinksUpToDate>
  <CharactersWithSpaces>14673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2021-02-04T03:32:00Z</dcterms:created>
  <dc:creator>admin-89</dc:creator>
  <cp:lastModifiedBy>yjnic201</cp:lastModifiedBy>
  <dcterms:modified xsi:type="dcterms:W3CDTF">2022-04-20T08:58:05Z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CC9C6FCC28AE4A238E1FB7F634FC63AB</vt:lpwstr>
  </property>
</Properties>
</file>