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rPr>
          <w:rFonts w:hint="default" w:ascii="Times New Roman" w:hAnsi="Times New Roman" w:cs="Times New Roman"/>
          <w:color w:val="auto"/>
          <w:highlight w:val="none"/>
          <w:lang w:val="en-US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color w:val="auto"/>
          <w:highlight w:val="none"/>
        </w:rPr>
        <w:t>附件</w:t>
      </w:r>
      <w:r>
        <w:rPr>
          <w:rFonts w:hint="default" w:ascii="Times New Roman" w:hAnsi="Times New Roman" w:eastAsia="黑体" w:cs="Times New Roman"/>
          <w:color w:val="auto"/>
          <w:highlight w:val="none"/>
          <w:lang w:val="en-US" w:eastAsia="zh-CN"/>
        </w:rPr>
        <w:t>17</w:t>
      </w:r>
    </w:p>
    <w:p>
      <w:pPr>
        <w:widowControl/>
        <w:shd w:val="clear" w:color="auto" w:fill="FFFFFF"/>
        <w:snapToGrid w:val="0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关于部分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eastAsia="zh-CN"/>
        </w:rPr>
        <w:t>抽检项目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的说明</w:t>
      </w:r>
    </w:p>
    <w:p>
      <w:pPr>
        <w:widowControl/>
        <w:shd w:val="clear" w:color="auto" w:fill="FFFFFF"/>
        <w:snapToGrid w:val="0"/>
        <w:spacing w:line="590" w:lineRule="exact"/>
        <w:rPr>
          <w:rFonts w:hint="eastAsia" w:ascii="Times New Roman" w:hAnsi="Times New Roman" w:eastAsia="仿宋_GB2312"/>
          <w:highlight w:val="none"/>
        </w:rPr>
      </w:pPr>
    </w:p>
    <w:p>
      <w:pPr>
        <w:spacing w:line="600" w:lineRule="exact"/>
        <w:ind w:firstLine="632" w:firstLineChars="200"/>
        <w:jc w:val="left"/>
        <w:rPr>
          <w:rFonts w:hint="default" w:ascii="Times New Roman" w:hAnsi="Times New Roman" w:eastAsia="黑体" w:cs="Times New Roman"/>
          <w:color w:val="auto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highlight w:val="none"/>
          <w:lang w:eastAsia="zh-CN"/>
        </w:rPr>
        <w:t>一</w:t>
      </w:r>
      <w:r>
        <w:rPr>
          <w:rFonts w:hint="default" w:ascii="Times New Roman" w:hAnsi="Times New Roman" w:eastAsia="黑体" w:cs="Times New Roman"/>
          <w:color w:val="auto"/>
          <w:highlight w:val="none"/>
        </w:rPr>
        <w:t>、</w:t>
      </w:r>
      <w:r>
        <w:rPr>
          <w:rFonts w:hint="eastAsia" w:eastAsia="黑体" w:cs="黑体"/>
          <w:color w:val="000000"/>
          <w:kern w:val="0"/>
          <w:sz w:val="32"/>
          <w:szCs w:val="32"/>
        </w:rPr>
        <w:t>乙二胺四乙酸二钠</w:t>
      </w:r>
    </w:p>
    <w:p>
      <w:pPr>
        <w:widowControl/>
        <w:shd w:val="clear" w:color="auto" w:fill="FFFFFF"/>
        <w:snapToGrid w:val="0"/>
        <w:spacing w:line="590" w:lineRule="exact"/>
        <w:ind w:firstLine="632" w:firstLineChars="200"/>
        <w:rPr>
          <w:rFonts w:hint="eastAsia" w:ascii="Times New Roman" w:hAnsi="Times New Roman" w:eastAsia="仿宋_GB2312" w:cs="Times New Roman"/>
          <w:color w:val="auto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highlight w:val="none"/>
        </w:rPr>
        <w:t>乙二胺四乙酸二钠又叫做EDTA，是一种稳定剂、防腐剂和抗氧化剂，《食品安全国家标准 食品添加剂使用标准》（GB 2760—2014）明确规定了其使用类别及对应的最大使用量。不合格原因主要是生产企业对食品添加剂使用标准理解不到位，或者过程控制不严，导致在加工过程中超量使用。乙二胺四乙酸二钠超标对人体危害较小。</w:t>
      </w:r>
    </w:p>
    <w:p>
      <w:pPr>
        <w:spacing w:line="600" w:lineRule="exact"/>
        <w:ind w:firstLine="632" w:firstLineChars="200"/>
        <w:rPr>
          <w:rFonts w:hint="default" w:ascii="Times New Roman" w:hAnsi="Times New Roman" w:eastAsia="黑体" w:cs="Times New Roman"/>
          <w:color w:val="auto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highlight w:val="none"/>
          <w:lang w:eastAsia="zh-CN"/>
        </w:rPr>
        <w:t>二</w:t>
      </w:r>
      <w:r>
        <w:rPr>
          <w:rFonts w:hint="default" w:ascii="Times New Roman" w:hAnsi="Times New Roman" w:eastAsia="黑体" w:cs="Times New Roman"/>
          <w:color w:val="auto"/>
          <w:highlight w:val="none"/>
        </w:rPr>
        <w:t>、</w:t>
      </w:r>
      <w:r>
        <w:rPr>
          <w:rFonts w:hint="eastAsia" w:ascii="黑体" w:hAnsi="黑体" w:eastAsia="黑体"/>
          <w:highlight w:val="none"/>
          <w:lang w:eastAsia="zh-CN"/>
        </w:rPr>
        <w:t>脱氢乙酸及其钠盐（以脱氢乙酸计）</w:t>
      </w:r>
    </w:p>
    <w:p>
      <w:pPr>
        <w:widowControl/>
        <w:shd w:val="clear" w:color="auto" w:fill="FFFFFF"/>
        <w:snapToGrid w:val="0"/>
        <w:spacing w:line="590" w:lineRule="exact"/>
        <w:ind w:firstLine="632" w:firstLineChars="200"/>
        <w:rPr>
          <w:rFonts w:hint="eastAsia" w:ascii="Times New Roman" w:hAnsi="Times New Roman" w:eastAsia="仿宋_GB2312" w:cs="Times New Roman"/>
          <w:color w:val="auto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highlight w:val="none"/>
        </w:rPr>
        <w:t>在食品生产中，脱氢乙酸及其钠盐作为一种广谱防腐剂，对霉菌和酵母菌的抑菌能力强。《食品安全国家标准 食品添加剂使用标准》（GB 2760—2014）中规定，罐头食品不得使用脱氢乙酸及其钠盐。罐头使用中脱氢乙酸及其钠盐的原因，可能是生产加工环节中超范围使用，以达到延长保质期的目的。脱氢乙酸及其钠盐能迅速而完全地被人体组织所吸收，进入人体后即分散于血浆和许多的器官中，有抑制体内多种氧化酶的作用，长期食用脱氢乙酸及其钠盐超标的食品，可能对人体造成一定影响。</w:t>
      </w:r>
    </w:p>
    <w:p>
      <w:pPr>
        <w:spacing w:line="600" w:lineRule="exact"/>
        <w:ind w:firstLine="632" w:firstLineChars="200"/>
        <w:rPr>
          <w:rFonts w:hint="default" w:ascii="Times New Roman" w:hAnsi="Times New Roman" w:eastAsia="黑体" w:cs="Times New Roman"/>
          <w:color w:val="auto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highlight w:val="none"/>
          <w:lang w:eastAsia="zh-CN"/>
        </w:rPr>
        <w:t>三</w:t>
      </w:r>
      <w:r>
        <w:rPr>
          <w:rFonts w:hint="default" w:ascii="Times New Roman" w:hAnsi="Times New Roman" w:eastAsia="黑体" w:cs="Times New Roman"/>
          <w:color w:val="auto"/>
          <w:highlight w:val="none"/>
        </w:rPr>
        <w:t>、</w:t>
      </w:r>
      <w:r>
        <w:rPr>
          <w:rFonts w:hint="eastAsia" w:ascii="黑体" w:hAnsi="黑体" w:eastAsia="黑体"/>
          <w:highlight w:val="none"/>
          <w:lang w:eastAsia="zh-CN"/>
        </w:rPr>
        <w:t>山梨酸及其钾盐（以山梨酸计）</w:t>
      </w:r>
    </w:p>
    <w:p>
      <w:pPr>
        <w:widowControl/>
        <w:shd w:val="clear" w:color="auto" w:fill="FFFFFF"/>
        <w:snapToGrid w:val="0"/>
        <w:spacing w:line="590" w:lineRule="exact"/>
        <w:ind w:firstLine="632" w:firstLineChars="200"/>
        <w:rPr>
          <w:rFonts w:hint="eastAsia" w:ascii="Times New Roman" w:hAnsi="Times New Roman" w:eastAsia="仿宋_GB2312" w:cs="Times New Roman"/>
          <w:color w:val="auto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highlight w:val="none"/>
        </w:rPr>
        <w:t>山梨酸及其钾盐是一种常见的防腐剂，安全性较高，可以被人体的代谢系统吸收而迅速分解为二氧化碳和水，在体内无残留。一般食品中添加量只要不超过限量要求是安全的，如果超标严重，并且长期食用，在一定程度上会抑制骨骼生长，危害肾、肝脏的健康。《食品安全国家标准 食品添加剂使用标准》（GB 2760—2014）明确规定哪些食品类别可以使用山梨酸及其钾盐，应严格按标准规定适用。不合格的原因可能是生产企业对标准的理解不到位导致超范围使用，也有可能是生产企业为了延长产品的保质期限而违规使用。</w:t>
      </w:r>
    </w:p>
    <w:p>
      <w:pPr>
        <w:spacing w:line="600" w:lineRule="exact"/>
        <w:ind w:firstLine="632" w:firstLineChars="200"/>
        <w:rPr>
          <w:rFonts w:hint="default" w:ascii="Times New Roman" w:hAnsi="Times New Roman" w:eastAsia="黑体" w:cs="Times New Roman"/>
          <w:color w:val="auto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highlight w:val="none"/>
          <w:lang w:eastAsia="zh-CN"/>
        </w:rPr>
        <w:t>四</w:t>
      </w:r>
      <w:r>
        <w:rPr>
          <w:rFonts w:hint="default" w:ascii="Times New Roman" w:hAnsi="Times New Roman" w:eastAsia="黑体" w:cs="Times New Roman"/>
          <w:color w:val="auto"/>
          <w:highlight w:val="none"/>
        </w:rPr>
        <w:t>、</w:t>
      </w:r>
      <w:r>
        <w:rPr>
          <w:rFonts w:hint="eastAsia" w:ascii="黑体" w:hAnsi="黑体" w:eastAsia="黑体"/>
          <w:highlight w:val="none"/>
          <w:lang w:eastAsia="zh-CN"/>
        </w:rPr>
        <w:t>防腐剂混合使用时各自用量占其最大使用量的比例之和</w:t>
      </w:r>
    </w:p>
    <w:p>
      <w:pPr>
        <w:widowControl/>
        <w:shd w:val="clear" w:color="auto" w:fill="FFFFFF"/>
        <w:snapToGrid w:val="0"/>
        <w:spacing w:line="590" w:lineRule="exact"/>
        <w:ind w:firstLine="632" w:firstLineChars="200"/>
        <w:rPr>
          <w:rFonts w:hint="eastAsia" w:ascii="Times New Roman" w:hAnsi="Times New Roman" w:eastAsia="仿宋_GB2312" w:cs="Times New Roman"/>
          <w:color w:val="auto"/>
          <w:highlight w:val="none"/>
        </w:rPr>
      </w:pPr>
      <w:r>
        <w:rPr>
          <w:rFonts w:hint="eastAsia" w:eastAsia="仿宋_GB2312"/>
          <w:sz w:val="32"/>
          <w:szCs w:val="32"/>
        </w:rPr>
        <w:t>防腐剂是以保持食品原有品质和营养价值为目的的食品添加剂，它能抑制微生物的生长繁殖，防止食品腐败变质从而延长保质期。《食品安全国家标准 食品添加剂使用标准》（GB2760—2014）中不仅规定了我国在食品中允许添加的某一添加剂的种类、使用量或残留量，而且规定了同一功能的防腐剂在混合使用时，各自用量占其最大使用量的比例之和不应超过1。超标原因可能是企业为增加产品保质期，或者弥补产品生产过程卫生条件不佳而超限量使用所致。若长期摄入过多食品防腐剂，会在一定程度上抑制骨骼生长，危害肾、肝脏的健康。而经常食用防腐剂含量超标食品，有可能对人体的肝脏和神经系统造成危害</w:t>
      </w:r>
      <w:r>
        <w:rPr>
          <w:rFonts w:hint="eastAsia" w:ascii="Times New Roman" w:hAnsi="Times New Roman" w:eastAsia="仿宋_GB2312" w:cs="Times New Roman"/>
          <w:color w:val="auto"/>
          <w:highlight w:val="none"/>
        </w:rPr>
        <w:t>。</w:t>
      </w:r>
    </w:p>
    <w:p>
      <w:pPr>
        <w:spacing w:line="600" w:lineRule="exact"/>
        <w:ind w:firstLine="632" w:firstLineChars="200"/>
        <w:rPr>
          <w:rFonts w:hint="default" w:ascii="Times New Roman" w:hAnsi="Times New Roman" w:eastAsia="黑体" w:cs="Times New Roman"/>
          <w:color w:val="auto"/>
          <w:highlight w:val="none"/>
        </w:rPr>
      </w:pPr>
      <w:r>
        <w:rPr>
          <w:rFonts w:hint="default" w:ascii="Times New Roman" w:hAnsi="Times New Roman" w:eastAsia="黑体" w:cs="Times New Roman"/>
          <w:color w:val="auto"/>
          <w:highlight w:val="none"/>
          <w:lang w:eastAsia="zh-CN"/>
        </w:rPr>
        <w:t>五</w:t>
      </w:r>
      <w:r>
        <w:rPr>
          <w:rFonts w:hint="default" w:ascii="Times New Roman" w:hAnsi="Times New Roman" w:eastAsia="黑体" w:cs="Times New Roman"/>
          <w:color w:val="auto"/>
          <w:highlight w:val="none"/>
        </w:rPr>
        <w:t>、</w:t>
      </w:r>
      <w:r>
        <w:rPr>
          <w:rFonts w:hint="default" w:ascii="Times New Roman" w:hAnsi="Times New Roman" w:eastAsia="黑体" w:cs="Times New Roman"/>
          <w:highlight w:val="none"/>
          <w:lang w:eastAsia="zh-CN"/>
        </w:rPr>
        <w:t>酸价（以脂肪计）（KOH）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</w:pPr>
      <w:r>
        <w:rPr>
          <w:rFonts w:hint="eastAsia" w:ascii="Times New Roman" w:hAnsi="Times New Roman" w:eastAsia="仿宋_GB2312" w:cs="Times New Roman"/>
          <w:color w:val="auto"/>
          <w:highlight w:val="none"/>
        </w:rPr>
        <w:t>酸价主要反映食品中的油脂酸败程度。酸价超标会导致食品有哈喇味，超标严重时所产生的醛、酮、酸会破坏脂溶性维生素，导致肠胃不适。《食品安全国家标准糕点、面包》（GB 7099—2015）中规定，糕点中酸价（以脂肪计）（KOH）最大限量值为5mg/g。造成酸价不合格的主要原因，可能是企业原料采购把关不严、生产工艺不达标、产品储藏条件不当，特别是存贮温度较高时易导致食品中的脂肪氧化酸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dobeHeitiStd-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BZ+ZFKCI1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书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E-BZ+ZFKCI1-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ZHT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K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H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LF-32771-0-294221330+ZLRCrb-4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dobeHeitiStd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HTJW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Y1+ZHBGhf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297+ZHBGii-646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7+ZHBGhg-8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3+ZHBGhf-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9+楷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5+CAJSymbolA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HZ+ZECJcD-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53196D"/>
    <w:rsid w:val="0F53196D"/>
    <w:rsid w:val="26153BC5"/>
    <w:rsid w:val="5D0570A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宋体"/>
      <w:sz w:val="21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2021-07-26T03:12:00Z</dcterms:created>
  <dc:creator>罗钰珊</dc:creator>
  <cp:lastModifiedBy>罗钰珊</cp:lastModifiedBy>
  <dcterms:modified xsi:type="dcterms:W3CDTF">2021-07-26T03:13:47Z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